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版本号：HXCG-2025-HZ-07-0420250710001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南郑区2025年黎坪镇农村饮水安全提升项目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HXCG-2025-HZ-07-04</w:t>
      </w:r>
      <w:r>
        <w:br/>
      </w:r>
      <w:r>
        <w:br/>
      </w:r>
      <w:r>
        <w:br/>
      </w:r>
    </w:p>
    <w:p>
      <w:pPr>
        <w:pStyle w:val="null3"/>
        <w:jc w:val="center"/>
        <w:outlineLvl w:val="2"/>
      </w:pPr>
      <w:r>
        <w:rPr>
          <w:rFonts w:ascii="仿宋_GB2312" w:hAnsi="仿宋_GB2312" w:cs="仿宋_GB2312" w:eastAsia="仿宋_GB2312"/>
          <w:sz w:val="28"/>
          <w:b/>
        </w:rPr>
        <w:t>汉中市南郑区黎坪镇人民政府</w:t>
      </w:r>
    </w:p>
    <w:p>
      <w:pPr>
        <w:pStyle w:val="null3"/>
        <w:jc w:val="center"/>
        <w:outlineLvl w:val="2"/>
      </w:pPr>
      <w:r>
        <w:rPr>
          <w:rFonts w:ascii="仿宋_GB2312" w:hAnsi="仿宋_GB2312" w:cs="仿宋_GB2312" w:eastAsia="仿宋_GB2312"/>
          <w:sz w:val="28"/>
          <w:b/>
        </w:rPr>
        <w:t>横信项目管理有限公司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横信项目管理有限公司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汉中市南郑区黎坪镇人民政府</w:t>
      </w:r>
      <w:r>
        <w:rPr>
          <w:rFonts w:ascii="仿宋_GB2312" w:hAnsi="仿宋_GB2312" w:cs="仿宋_GB2312" w:eastAsia="仿宋_GB2312"/>
        </w:rPr>
        <w:t>委托，拟对</w:t>
      </w:r>
      <w:r>
        <w:rPr>
          <w:rFonts w:ascii="仿宋_GB2312" w:hAnsi="仿宋_GB2312" w:cs="仿宋_GB2312" w:eastAsia="仿宋_GB2312"/>
        </w:rPr>
        <w:t>南郑区2025年黎坪镇农村饮水安全提升项目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HXCG-2025-HZ-07-04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南郑区2025年黎坪镇农村饮水安全提升项目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1.建设内容：南郑区2025年黎坪镇农村饮水安全提升项目涉及黎坪镇（集镇）、瓦石溪村（环山组）、桃源村共计3处供水工程，共计解决共计解决1100户3315人的安全饮水问题。主要建设内容： 黎坪镇（集镇）供水工程主要建设内容：新建拦水低坝1座、闸阀井5座；新建DE90PE(1.0MPa)输水管3230m；围栏防护40m、水源保护标志牌1套。新增排气阀2个。 桃源村供水工程主要建设内容：原蓄水池维修1处、新建消毒房1间、闸阀井4座；新建DE50PE管（1.0MPa）4455m、DE32PE管（1.25MPa）2900m。新增次氯酸钠发生器（有效加氯量0-50g/h）1套、220V地埋式铠装电缆500m、配电柜1个、电表1个。 瓦石溪村（环山组）供水工程主要建设内容：新建拦水低坝1座、10t蓄水池1座；新建DE32PE管（1.6MPa）7800m；围栏防护30m、水源保护标志牌1套。 2.工期：40日历天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采购包1（南郑区2025年黎坪镇农村饮水安全提升项目）：属于专门面向中小企业采购。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直接参加磋商的，须出具法人身份证(附法定代表人身份证复印件);法定代表人授权代表参加磋商的，须出具法定代表人授权书及授权代表身份证(附法定代表人身份证复印件及被授权人身份证复印件)。：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2、供应商为具有独立承担民事责任能力的企业法人、事业法人、其他组织，提供营业执照原件（事业单位须事业单位法人证、组织机构代码证等证明文件；其他组织应提供合法证明文件）。：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3、供应商具有行政主管部门核发的水利水电工程施工总承包三级（含三级）及以上资质，或市政公用工程施工总承包三级（含三级）及以上资质，且具有效的安全生产许可证；：供应商具有行政主管部门核发的水利水电工程施工总承包三级（含三级）及以上资质，或市政公用工程施工总承包三级（含三级）及以上资质，且具有效的安全生产许可证；</w:t>
      </w:r>
    </w:p>
    <w:p>
      <w:pPr>
        <w:pStyle w:val="null3"/>
      </w:pPr>
      <w:r>
        <w:rPr>
          <w:rFonts w:ascii="仿宋_GB2312" w:hAnsi="仿宋_GB2312" w:cs="仿宋_GB2312" w:eastAsia="仿宋_GB2312"/>
        </w:rPr>
        <w:t>4、拟派项目负责人须具备水利水电工程专业二级（含二级）及以上注册建造师资格，或市政公用工程专业二级（含二级）以上注册建造师资格；并具备有效的安全生产考核合格B证，且无在建项目。：拟派项目负责人须具备水利水电工程专业二级（含二级）及以上注册建造师资格，或市政公用工程专业二级（含二级）以上注册建造师资格；并具备有效的安全生产考核合格B证，且无在建项目。</w:t>
      </w:r>
    </w:p>
    <w:p>
      <w:pPr>
        <w:pStyle w:val="null3"/>
      </w:pPr>
      <w:r>
        <w:rPr>
          <w:rFonts w:ascii="仿宋_GB2312" w:hAnsi="仿宋_GB2312" w:cs="仿宋_GB2312" w:eastAsia="仿宋_GB2312"/>
        </w:rPr>
        <w:t>5、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6、本项目不接受联合体磋商，供应商应提供《非联合体声明》。：本项目不接受联合体磋商，供应商应提供《非联合体声明》。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汉中市南郑区黎坪镇人民政府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黎坪镇元坝街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17764772700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横信项目管理有限公司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陕西省西安市经济技术开发区首创国际城八期 64栋楼 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15319339961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采购包1：1,066,700.00元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开户名称：横信项目管理有限公司汉中分公司</w:t>
            </w:r>
          </w:p>
          <w:p>
            <w:pPr>
              <w:pStyle w:val="null3"/>
            </w:pPr>
            <w:r>
              <w:rPr>
                <w:rFonts w:ascii="仿宋_GB2312" w:hAnsi="仿宋_GB2312" w:cs="仿宋_GB2312" w:eastAsia="仿宋_GB2312"/>
              </w:rPr>
              <w:t>开户银行：中国农业银行股份有限公司汉中东一环路支行或（东大街支行）</w:t>
            </w:r>
          </w:p>
          <w:p>
            <w:pPr>
              <w:pStyle w:val="null3"/>
            </w:pPr>
            <w:r>
              <w:rPr>
                <w:rFonts w:ascii="仿宋_GB2312" w:hAnsi="仿宋_GB2312" w:cs="仿宋_GB2312" w:eastAsia="仿宋_GB2312"/>
              </w:rPr>
              <w:t>银行账号：26650401040002274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说明：合同签订后需缴纳履约保证金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国家发展改革委员会办公厅颁发的《关于招标代理服务收费有关问题的通知》（发改办价格[2003]857号）和《国家发展改革委关于降低部分建设项目收费标准规范收费行为等有关问题的通知》（发改价格[2011]534号）文件的有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汉中市南郑区黎坪镇人民政府</w:t>
      </w:r>
      <w:r>
        <w:rPr>
          <w:rFonts w:ascii="仿宋_GB2312" w:hAnsi="仿宋_GB2312" w:cs="仿宋_GB2312" w:eastAsia="仿宋_GB2312"/>
        </w:rPr>
        <w:t>和</w:t>
      </w:r>
      <w:r>
        <w:rPr>
          <w:rFonts w:ascii="仿宋_GB2312" w:hAnsi="仿宋_GB2312" w:cs="仿宋_GB2312" w:eastAsia="仿宋_GB2312"/>
        </w:rPr>
        <w:t>横信项目管理有限公司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汉中市南郑区黎坪镇人民政府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横信项目管理有限公司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汉中市南郑区黎坪镇人民政府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横信项目管理有限公司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符合相关建设标准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联系电话：15319339961</w:t>
      </w:r>
    </w:p>
    <w:p>
      <w:pPr>
        <w:pStyle w:val="null3"/>
      </w:pPr>
      <w:r>
        <w:rPr>
          <w:rFonts w:ascii="仿宋_GB2312" w:hAnsi="仿宋_GB2312" w:cs="仿宋_GB2312" w:eastAsia="仿宋_GB2312"/>
        </w:rPr>
        <w:t>地址：陕西省西安市经济技术开发区首创国际城八期 64栋楼 307室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1,066,700.00</w:t>
      </w:r>
    </w:p>
    <w:p>
      <w:pPr>
        <w:pStyle w:val="null3"/>
      </w:pPr>
      <w:r>
        <w:rPr>
          <w:rFonts w:ascii="仿宋_GB2312" w:hAnsi="仿宋_GB2312" w:cs="仿宋_GB2312" w:eastAsia="仿宋_GB2312"/>
        </w:rPr>
        <w:t>采购包最高限价（元）: 1,021,381.42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南郑区2025年黎坪镇农村饮水安全提升项目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1,066,700.00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标的名称：南郑区2025年黎坪镇农村饮水安全提升项目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无</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《村镇供水工程技术规范》（SL310）、《农村饮用水安全卫生评价指标体系》等相关标准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工程维护</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供应商具有行政主管部门核发的水利水电工程施工总承包三级（含三级）及以上资质，或市政公用工程施工总承包三级（含三级）及以上资质，且具有效的安全生产许可证；</w:t>
            </w:r>
          </w:p>
        </w:tc>
        <w:tc>
          <w:tcPr>
            <w:tcW w:type="dxa" w:w="3322"/>
          </w:tcPr>
          <w:p>
            <w:pPr>
              <w:pStyle w:val="null3"/>
            </w:pPr>
            <w:r>
              <w:rPr>
                <w:rFonts w:ascii="仿宋_GB2312" w:hAnsi="仿宋_GB2312" w:cs="仿宋_GB2312" w:eastAsia="仿宋_GB2312"/>
              </w:rPr>
              <w:t>供应商具有行政主管部门核发的水利水电工程施工总承包三级（含三级）及以上资质，或市政公用工程施工总承包三级（含三级）及以上资质，且具有效的安全生产许可证；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拟派项目负责人须具备水利水电工程专业二级（含二级）及以上注册建造师资格，或市政公用工程专业二级（含二级）以上注册建造师资格；并具备有效的安全生产考核合格B证，且无在建项目。</w:t>
            </w:r>
          </w:p>
        </w:tc>
        <w:tc>
          <w:tcPr>
            <w:tcW w:type="dxa" w:w="3322"/>
          </w:tcPr>
          <w:p>
            <w:pPr>
              <w:pStyle w:val="null3"/>
            </w:pPr>
            <w:r>
              <w:rPr>
                <w:rFonts w:ascii="仿宋_GB2312" w:hAnsi="仿宋_GB2312" w:cs="仿宋_GB2312" w:eastAsia="仿宋_GB2312"/>
              </w:rPr>
              <w:t>拟派项目负责人须具备水利水电工程专业二级（含二级）及以上注册建造师资格，或市政公用工程专业二级（含二级）以上注册建造师资格；并具备有效的安全生产考核合格B证，且无在建项目。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本项目不接受联合体磋商，供应商应提供《非联合体声明》。</w:t>
            </w:r>
          </w:p>
        </w:tc>
        <w:tc>
          <w:tcPr>
            <w:tcW w:type="dxa" w:w="3322"/>
          </w:tcPr>
          <w:p>
            <w:pPr>
              <w:pStyle w:val="null3"/>
            </w:pPr>
            <w:r>
              <w:rPr>
                <w:rFonts w:ascii="仿宋_GB2312" w:hAnsi="仿宋_GB2312" w:cs="仿宋_GB2312" w:eastAsia="仿宋_GB2312"/>
              </w:rPr>
              <w:t>本项目不接受联合体磋商，供应商应提供《非联合体声明》。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项目经理具备高级工程师得5分 ,中级工程师得3分 ,初级工程师得1分；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提供人员配置，根据响应情况赋分0-5分，未提供的不计分。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供应商提供2023年至今完成类似项目业绩，每提供1个业绩得2.5分，此项最高得5分；（注：业绩评审需提供项目中标通知书及施工合同复印件，缺一无效）</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近三年完成的类似项目情况表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根据项目情况提供服务承诺，承诺完整、合理且符合实际情况的，磋商小组根据响应程度赋0-5分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针对本项目提供科学、可行、合理的施工方案；（一般0-2分，良2.1-4分，优4.1-8分）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措施科学、合理、可行；（一般0-2分，良2.1-4分，优4.1-8分）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措施科学、合理、可行；（一般0-2分，良2.1-4分，优4.1-8分）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措施科学、合理、可行；（一般0-2分，良2.1-4分，优4.1-8分）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措施科学、合理、可行；（一般0-2分，良2.1-4分，优4.1-8分）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w:t>
            </w:r>
          </w:p>
        </w:tc>
      </w:tr>
      <w:tr>
        <w:tc>
          <w:tcPr>
            <w:tcW w:type="dxa" w:w="831"/>
            <w:vMerge/>
          </w:tcPr>
          <w:p/>
        </w:tc>
        <w:tc>
          <w:tcPr>
            <w:tcW w:type="dxa" w:w="1661"/>
          </w:tcPr>
          <w:p>
            <w:pPr>
              <w:pStyle w:val="null3"/>
            </w:pPr>
            <w:r>
              <w:rPr>
                <w:rFonts w:ascii="仿宋_GB2312" w:hAnsi="仿宋_GB2312" w:cs="仿宋_GB2312" w:eastAsia="仿宋_GB2312"/>
              </w:rPr>
              <w:t>施工过程中主要机具、设备配备情况</w:t>
            </w:r>
          </w:p>
        </w:tc>
        <w:tc>
          <w:tcPr>
            <w:tcW w:type="dxa" w:w="2492"/>
          </w:tcPr>
          <w:p>
            <w:pPr>
              <w:pStyle w:val="null3"/>
            </w:pPr>
            <w:r>
              <w:rPr>
                <w:rFonts w:ascii="仿宋_GB2312" w:hAnsi="仿宋_GB2312" w:cs="仿宋_GB2312" w:eastAsia="仿宋_GB2312"/>
              </w:rPr>
              <w:t>机械设备满足工程需要，科学、合理、可行；一般0-2分，良2.1-3.5分，优3.6-5分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施工设备配置表</w:t>
            </w:r>
          </w:p>
          <w:p>
            <w:pPr>
              <w:pStyle w:val="null3"/>
            </w:pPr>
            <w:r>
              <w:rPr>
                <w:rFonts w:ascii="仿宋_GB2312" w:hAnsi="仿宋_GB2312" w:cs="仿宋_GB2312" w:eastAsia="仿宋_GB2312"/>
              </w:rPr>
              <w:t>总实施方案</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一般0-2分，良2.1-3.5分，优3.6-5分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 ：价格分采用低价优先法计算，即满足磋商文件要求且投标价格最低的投标报价为评审基准价，其价格 分为满分。其他投标人的价格分统一按照下列公式计算： 投标报价得分=（评审基准价/投标报价）×价格权值30%×100 注：评审小组二分之一以上专家认为某投标报价有低于成本价嫌疑的，且供应商无法证明其价格合理性的，为无效报价。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详见附件：总实施方案</w:t>
      </w:r>
    </w:p>
    <w:p>
      <w:pPr>
        <w:pStyle w:val="null3"/>
        <w:ind w:firstLine="960"/>
      </w:pPr>
      <w:r>
        <w:rPr>
          <w:rFonts w:ascii="仿宋_GB2312" w:hAnsi="仿宋_GB2312" w:cs="仿宋_GB2312" w:eastAsia="仿宋_GB2312"/>
        </w:rPr>
        <w:t>详见附件：项目经理简历表</w:t>
      </w:r>
    </w:p>
    <w:p>
      <w:pPr>
        <w:pStyle w:val="null3"/>
        <w:ind w:firstLine="960"/>
      </w:pPr>
      <w:r>
        <w:rPr>
          <w:rFonts w:ascii="仿宋_GB2312" w:hAnsi="仿宋_GB2312" w:cs="仿宋_GB2312" w:eastAsia="仿宋_GB2312"/>
        </w:rPr>
        <w:t>详见附件：近三年完成的类似项目情况表</w:t>
      </w:r>
    </w:p>
    <w:p>
      <w:pPr>
        <w:pStyle w:val="null3"/>
        <w:ind w:firstLine="960"/>
      </w:pPr>
      <w:r>
        <w:rPr>
          <w:rFonts w:ascii="仿宋_GB2312" w:hAnsi="仿宋_GB2312" w:cs="仿宋_GB2312" w:eastAsia="仿宋_GB2312"/>
        </w:rPr>
        <w:t>详见附件：人员配置</w:t>
      </w:r>
    </w:p>
    <w:p>
      <w:pPr>
        <w:pStyle w:val="null3"/>
        <w:ind w:firstLine="960"/>
      </w:pPr>
      <w:r>
        <w:rPr>
          <w:rFonts w:ascii="仿宋_GB2312" w:hAnsi="仿宋_GB2312" w:cs="仿宋_GB2312" w:eastAsia="仿宋_GB2312"/>
        </w:rPr>
        <w:t>详见附件：施工设备配置表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