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版本号：ZCSP-南郑县-2025-0004520250714001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新集镇2025年农村饮水安全排查改造提升项目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ZCSP-南郑县-2025-00045</w:t>
      </w:r>
      <w:r>
        <w:br/>
      </w:r>
      <w:r>
        <w:br/>
      </w:r>
      <w:r>
        <w:br/>
      </w:r>
    </w:p>
    <w:p>
      <w:pPr>
        <w:pStyle w:val="null3"/>
        <w:jc w:val="center"/>
        <w:outlineLvl w:val="2"/>
      </w:pPr>
      <w:r>
        <w:rPr>
          <w:rFonts w:ascii="仿宋_GB2312" w:hAnsi="仿宋_GB2312" w:cs="仿宋_GB2312" w:eastAsia="仿宋_GB2312"/>
          <w:sz w:val="28"/>
          <w:b/>
        </w:rPr>
        <w:t>汉中市南郑区农村供水管理中心</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汉中市南郑区农村供水管理中心</w:t>
      </w:r>
      <w:r>
        <w:rPr>
          <w:rFonts w:ascii="仿宋_GB2312" w:hAnsi="仿宋_GB2312" w:cs="仿宋_GB2312" w:eastAsia="仿宋_GB2312"/>
        </w:rPr>
        <w:t>委托，拟对</w:t>
      </w:r>
      <w:r>
        <w:rPr>
          <w:rFonts w:ascii="仿宋_GB2312" w:hAnsi="仿宋_GB2312" w:cs="仿宋_GB2312" w:eastAsia="仿宋_GB2312"/>
        </w:rPr>
        <w:t>新集镇2025年农村饮水安全排查改造提升项目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ZCSP-南郑县-2025-00045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新集镇2025年农村饮水安全排查改造提升项目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新建水源，新修蓄水池，新建管理房，安装机电设备及管道铺设等附属工程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采购包1（新集镇2025年农村饮水安全排查改造提升项目）：属于专门面向中小企业采购。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3、供应商资质要求：供应商资质要求 具备建设行政主管部门核发的水利水电工程或市政公用工程施工总承包三级及以上资质，安全生产许可证合格有效，并具有类似工程施工经验和业绩；</w:t>
      </w:r>
    </w:p>
    <w:p>
      <w:pPr>
        <w:pStyle w:val="null3"/>
      </w:pPr>
      <w:r>
        <w:rPr>
          <w:rFonts w:ascii="仿宋_GB2312" w:hAnsi="仿宋_GB2312" w:cs="仿宋_GB2312" w:eastAsia="仿宋_GB2312"/>
        </w:rPr>
        <w:t>4、无拖欠农民工工资证明：供应商须提供项目所在地劳动监察部门出具的无拖欠农民工工资证明；</w:t>
      </w:r>
    </w:p>
    <w:p>
      <w:pPr>
        <w:pStyle w:val="null3"/>
      </w:pPr>
      <w:r>
        <w:rPr>
          <w:rFonts w:ascii="仿宋_GB2312" w:hAnsi="仿宋_GB2312" w:cs="仿宋_GB2312" w:eastAsia="仿宋_GB2312"/>
        </w:rPr>
        <w:t>5、拟派项目负责人资质和专业要求：具备建设行政主管部门核发的相应专业二级及以上建造师执业资格，并取得（B类）安全生产考核合格证书，无不良记录，无在建工程(提供无在建承诺书)；</w:t>
      </w:r>
    </w:p>
    <w:p>
      <w:pPr>
        <w:pStyle w:val="null3"/>
      </w:pPr>
      <w:r>
        <w:rPr>
          <w:rFonts w:ascii="仿宋_GB2312" w:hAnsi="仿宋_GB2312" w:cs="仿宋_GB2312" w:eastAsia="仿宋_GB2312"/>
        </w:rPr>
        <w:t>6、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p>
      <w:pPr>
        <w:pStyle w:val="null3"/>
      </w:pPr>
      <w:r>
        <w:rPr>
          <w:rFonts w:ascii="仿宋_GB2312" w:hAnsi="仿宋_GB2312" w:cs="仿宋_GB2312" w:eastAsia="仿宋_GB2312"/>
        </w:rPr>
        <w:t>7、中小企业声明函：本项目专门面向中小企业采购，供应商须提供中小企业声明函；</w:t>
      </w:r>
    </w:p>
    <w:p>
      <w:pPr>
        <w:pStyle w:val="null3"/>
      </w:pPr>
      <w:r>
        <w:rPr>
          <w:rFonts w:ascii="仿宋_GB2312" w:hAnsi="仿宋_GB2312" w:cs="仿宋_GB2312" w:eastAsia="仿宋_GB2312"/>
        </w:rPr>
        <w:t>8、不接受联合体：本项目不接受联合体，供应商需在项目电子化交易系统中按要求上传相应证明文件并进行电子签章。</w:t>
      </w:r>
    </w:p>
    <w:p>
      <w:pPr>
        <w:pStyle w:val="null3"/>
      </w:pPr>
      <w:r>
        <w:rPr>
          <w:rFonts w:ascii="仿宋_GB2312" w:hAnsi="仿宋_GB2312" w:cs="仿宋_GB2312" w:eastAsia="仿宋_GB2312"/>
        </w:rPr>
        <w:t>9、磋商保证金：供应商按照磋商文件要求递交了磋商保证金</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汉中市南郑区农村供水管理中心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汉中市南郑区汉山街道办西大街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汉中市南郑区农村供水管理中心经办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0916-5514010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说明：依据本项目合同约定，向采购人缴纳履约保证金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代理服务费依据国家计委颁发的《关于印发招标代理服务收费管理暂行办法》的通知（计价格〔2002〕1980号）和国家发展和改革委员会颁发的《关于降低部分建设项目收费标准规范收费行为等有关问题的通知》（发改价格〔2011〕534号）规定的标准和采购代理合同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汉中市南郑区农村供水管理中心</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汉中市南郑区农村供水管理中心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汉中市南郑区农村供水管理中心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1,151,000.00</w:t>
      </w:r>
    </w:p>
    <w:p>
      <w:pPr>
        <w:pStyle w:val="null3"/>
      </w:pPr>
      <w:r>
        <w:rPr>
          <w:rFonts w:ascii="仿宋_GB2312" w:hAnsi="仿宋_GB2312" w:cs="仿宋_GB2312" w:eastAsia="仿宋_GB2312"/>
        </w:rPr>
        <w:t>采购包最高限价（元）: 1,113,218.00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新建水源，新修蓄水池，新建管理房，安装机电设备及管道铺设等附属工程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标的名称：新建水源，新修蓄水池，新建管理房，安装机电设备及管道铺设等附属工程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（一）工程内容：设</w:t>
            </w:r>
            <w:r>
              <w:rPr>
                <w:rFonts w:ascii="仿宋_GB2312" w:hAnsi="仿宋_GB2312" w:cs="仿宋_GB2312" w:eastAsia="仿宋_GB2312"/>
                <w:sz w:val="21"/>
              </w:rPr>
              <w:t>计图纸及工程量清单所有内容</w:t>
            </w:r>
            <w:r>
              <w:rPr>
                <w:rFonts w:ascii="仿宋_GB2312" w:hAnsi="仿宋_GB2312" w:cs="仿宋_GB2312" w:eastAsia="仿宋_GB2312"/>
                <w:sz w:val="20"/>
              </w:rPr>
              <w:t>。</w:t>
            </w:r>
          </w:p>
          <w:p>
            <w:pPr>
              <w:pStyle w:val="null3"/>
            </w:pPr>
            <w:r>
              <w:rPr>
                <w:rFonts w:ascii="仿宋_GB2312" w:hAnsi="仿宋_GB2312" w:cs="仿宋_GB2312" w:eastAsia="仿宋_GB2312"/>
                <w:sz w:val="20"/>
              </w:rPr>
              <w:t>（二）工程地点：位于陕西省汉中市南郑区新集镇。</w:t>
            </w:r>
          </w:p>
          <w:p>
            <w:pPr>
              <w:pStyle w:val="null3"/>
            </w:pPr>
            <w:r>
              <w:rPr>
                <w:rFonts w:ascii="仿宋_GB2312" w:hAnsi="仿宋_GB2312" w:cs="仿宋_GB2312" w:eastAsia="仿宋_GB2312"/>
                <w:sz w:val="20"/>
              </w:rPr>
              <w:t>（三）计划工期：</w:t>
            </w:r>
            <w:r>
              <w:rPr>
                <w:rFonts w:ascii="仿宋_GB2312" w:hAnsi="仿宋_GB2312" w:cs="仿宋_GB2312" w:eastAsia="仿宋_GB2312"/>
                <w:sz w:val="20"/>
              </w:rPr>
              <w:t>60日历天。</w:t>
            </w:r>
          </w:p>
          <w:p>
            <w:pPr>
              <w:pStyle w:val="null3"/>
            </w:pPr>
            <w:r>
              <w:rPr>
                <w:rFonts w:ascii="仿宋_GB2312" w:hAnsi="仿宋_GB2312" w:cs="仿宋_GB2312" w:eastAsia="仿宋_GB2312"/>
                <w:sz w:val="20"/>
              </w:rPr>
              <w:t>（四）工程质量：质量达到合格标准，并满足国家相关标准、规范及有关技术文件要求。</w:t>
            </w:r>
          </w:p>
          <w:p>
            <w:pPr>
              <w:pStyle w:val="null3"/>
              <w:jc w:val="both"/>
            </w:pPr>
            <w:r>
              <w:rPr>
                <w:rFonts w:ascii="仿宋_GB2312" w:hAnsi="仿宋_GB2312" w:cs="仿宋_GB2312" w:eastAsia="仿宋_GB2312"/>
                <w:sz w:val="20"/>
              </w:rPr>
              <w:t>（五）质量保修期：一年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一、采购最高限价编制依据： 1、云汉工程技术有限公司设计的新集镇2025年农村饮水安全排查改造提升项目施工图纸； 2、陕水规计发【2019】66号文2017计价依据《陕西省水利建筑工程预算定额》、《陕西省水利设备安装工程预算定额》、《陕西省水利工程施工机械台班费定额》； 3、陕发改项目【2009】821号文《关于陕西省水利水电工程概预算编制办法及费用标准（2000版）调整意见的批复》； 4、陕发改投资【2016】1303号文《关于陕西省水利水电工程营业税改增值税计价依据调整办法的批复》； 5、税金执行办财务函【2019】448号水利部办公厅关于调整水利工程计价依据增值税计算标准的通知； 二、编制说明： 1、本次工程最高限价只编制建安费用、临时设施费、备用金。 2、人工费按照技工75元/工日，普工50元/工日计入； 3、主要材料以《2025年5月汉中建设工程造价信息》及市场价为基础。 4、结合工程实际情况及施工市场行情，对相关标准及参数提出以下参考值： （1）临时工程费按照按建筑工程、机电设备、金属结构安装费2%计列； （2）备用金按照建筑工程、机电设备、金属结构安装费5%计列。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1、为顺利推进政府采购电子化交易平台应用工作，供应商务必在开标截止时间30分钟前，通过项目电子化交易系统进行签到，如未进行签到，产生的一切后果由供应商自行承担。 2、供应商的磋商报价包括施工机械使用费、人工费、材料与设备费、其他(运杂费、质检费、安装费、缺陷修复费、保险费，以及合同明示或暗示的风险、责任和义务等)，以及管理费、税金、利润、采购代理服务费、造价咨询费等所有费用，并符合建设工程计价规则。各供应商所有分项报价（与最后磋商报价比例一致）同比例下浮。 3、签名是指手写签名或者加盖名章，盖章是指加盖单位印章。 4、本项目所属行业为建筑业。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响应文件封面 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供应商资质要求 具备建设行政主管部门核发的水利水电工程或市政公用工程施工总承包三级及以上资质，安全生产许可证合格有效，并具有类似工程施工经验和业绩；</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供应商须提供项目所在地劳动监察部门出具的无拖欠农民工工资证明；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具备建设行政主管部门核发的相应专业二级及以上建造师执业资格，并取得（B类）安全生产考核合格证书，无不良记录，无在建工程(提供无在建承诺书)；</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非联合体不分包投标声明.docx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供应商按照磋商文件要求递交了磋商保证金</w:t>
            </w:r>
          </w:p>
        </w:tc>
        <w:tc>
          <w:tcPr>
            <w:tcW w:type="dxa" w:w="1661"/>
          </w:tcPr>
          <w:p>
            <w:pPr>
              <w:pStyle w:val="null3"/>
            </w:pPr>
            <w:r>
              <w:rPr>
                <w:rFonts w:ascii="仿宋_GB2312" w:hAnsi="仿宋_GB2312" w:cs="仿宋_GB2312" w:eastAsia="仿宋_GB2312"/>
              </w:rPr>
              <w:t>磋商保证金.docx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供应商应提交的相关资格证明材料 非联合体不分包投标声明.docx 汉中市政府采购供应商资格承诺函.docx 强制优先采购产品承诺函 工程量清单（模板）.docx 法定代表人授权书.docx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工程量清单（模板）.docx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响应文件封面 已标价工程量清单 报价函 标的清单 工程量清单（模板）.docx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供应商应提交的相关资格证明材料 非联合体不分包投标声明.docx 汉中市政府采购供应商资格承诺函.docx 强制优先采购产品承诺函 工程量清单（模板）.docx 法定代表人授权书.docx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2022年1月1日至今类似工程施工业绩，有一项得2分，最高得6分；类似业绩为水利工程或市政工程施工业绩。 须提供中标（成交）通知书和合同协议书等证明资料。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1.项目负责人2022年1月1日至今承担过类似工程得1.5分，最高得3分，须提供中标（成交）通知书和合同协议书等证明资料。 2.项目负责人具有响应此项目标段时所使用资质的相应相关专业中级技术职称得0.5分；具有响应此项目标段时所使用资质的相应相关专业高级及以上技术职称得1分。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拟派项目负责人业绩.docx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质量保证措施科学、合理、全面、可行性高得10.1~15分；质量保证措施较合理、 内容较完整得5.1~10分；质量保证措施不完整、可行性较差得1.0~5分；无此内容得0分。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工期保证措施科学、合理、全面、可行性高得7.1~10分；工期保证措施较合理、内容较完整得3.1~7分；工期保证措施不完整 、可行性较差得1.0~3分，无此项内容得0分。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保证措施符合规范要求、内容全面、详细，创新性及可操作性强得7.1～10分；保证措施内容较完整、基本基本可行得3.1～7分；保证措施不完整、可行性较差得1.0~3分，无此内容得0分。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施工方案合理、全面、可操作性强得7.1～10分；施工方案较齐全、基本可行得3.1～7分；施工方案不完整、可行性较差得1.0～3分；无此内容得0分。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拟派实名制人员配置</w:t>
            </w:r>
          </w:p>
        </w:tc>
        <w:tc>
          <w:tcPr>
            <w:tcW w:type="dxa" w:w="2492"/>
          </w:tcPr>
          <w:p>
            <w:pPr>
              <w:pStyle w:val="null3"/>
            </w:pPr>
            <w:r>
              <w:rPr>
                <w:rFonts w:ascii="仿宋_GB2312" w:hAnsi="仿宋_GB2312" w:cs="仿宋_GB2312" w:eastAsia="仿宋_GB2312"/>
              </w:rPr>
              <w:t>项目部技术人员岗位配置充足、齐全得3.1~5分；技术人员基本满足施工要求得1~3分；无此项内容得0分。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质量保证及服务承诺</w:t>
            </w:r>
          </w:p>
        </w:tc>
        <w:tc>
          <w:tcPr>
            <w:tcW w:type="dxa" w:w="2492"/>
          </w:tcPr>
          <w:p>
            <w:pPr>
              <w:pStyle w:val="null3"/>
            </w:pPr>
            <w:r>
              <w:rPr>
                <w:rFonts w:ascii="仿宋_GB2312" w:hAnsi="仿宋_GB2312" w:cs="仿宋_GB2312" w:eastAsia="仿宋_GB2312"/>
              </w:rPr>
              <w:t>质量保证及服务承诺详尽，符合项目特点得7.1~10分；质量保证及服务承诺基本合理、可行得3.1~7分；质量保证及服务承诺不够完善得1~3分；无此项内容得0分。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2、以满足本次磋商文件要求的最终价格最低报价为磋商基准价，其价格为满分； 3、供应商报价得分=（磋商基准价/最终磋商报价）×30。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详见附件：工程量清单（模板）.docx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详见附件：拟派项目负责人业绩.docx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