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31916">
      <w:pPr>
        <w:pStyle w:val="2"/>
        <w:spacing w:before="120" w:after="120" w:line="400" w:lineRule="exact"/>
        <w:jc w:val="center"/>
        <w:rPr>
          <w:rFonts w:hint="eastAsia" w:asciiTheme="majorEastAsia" w:hAnsiTheme="majorEastAsia" w:eastAsiaTheme="majorEastAsia" w:cstheme="majorEastAsia"/>
          <w:b/>
          <w:bCs/>
          <w:kern w:val="2"/>
          <w:sz w:val="32"/>
          <w:szCs w:val="32"/>
          <w:lang w:val="en-US" w:eastAsia="zh-CN" w:bidi="ar-SA"/>
        </w:rPr>
      </w:pPr>
      <w:bookmarkStart w:id="0" w:name="_Toc6948"/>
      <w:bookmarkStart w:id="1" w:name="_Toc12077"/>
      <w:bookmarkStart w:id="2" w:name="_Toc144974834"/>
      <w:bookmarkStart w:id="3" w:name="_Toc168476293"/>
      <w:bookmarkStart w:id="4" w:name="_Toc168475890"/>
      <w:r>
        <w:rPr>
          <w:rFonts w:hint="eastAsia" w:asciiTheme="majorEastAsia" w:hAnsiTheme="majorEastAsia" w:eastAsiaTheme="majorEastAsia" w:cstheme="majorEastAsia"/>
          <w:b/>
          <w:bCs/>
          <w:kern w:val="2"/>
          <w:sz w:val="32"/>
          <w:szCs w:val="32"/>
          <w:lang w:val="en-US" w:eastAsia="zh-CN" w:bidi="ar-SA"/>
        </w:rPr>
        <w:t>合同条款及格式</w:t>
      </w:r>
      <w:bookmarkEnd w:id="0"/>
      <w:bookmarkEnd w:id="1"/>
    </w:p>
    <w:p w14:paraId="6E19533F">
      <w:pPr>
        <w:keepNext w:val="0"/>
        <w:keepLines w:val="0"/>
        <w:pageBreakBefore w:val="0"/>
        <w:widowControl w:val="0"/>
        <w:kinsoku/>
        <w:overflowPunct/>
        <w:topLinePunct w:val="0"/>
        <w:autoSpaceDE/>
        <w:autoSpaceDN/>
        <w:bidi w:val="0"/>
        <w:adjustRightInd/>
        <w:snapToGrid/>
        <w:spacing w:line="400" w:lineRule="exact"/>
        <w:jc w:val="center"/>
        <w:textAlignment w:val="auto"/>
        <w:rPr>
          <w:rFonts w:hint="eastAsia" w:ascii="宋体" w:hAnsi="宋体" w:eastAsia="宋体" w:cs="宋体"/>
          <w:b/>
          <w:bCs/>
          <w:color w:val="auto"/>
          <w:spacing w:val="-11"/>
          <w:sz w:val="28"/>
          <w:szCs w:val="28"/>
          <w:lang w:eastAsia="zh-CN"/>
        </w:rPr>
      </w:pPr>
      <w:r>
        <w:rPr>
          <w:rFonts w:hint="eastAsia" w:ascii="宋体" w:hAnsi="宋体" w:eastAsia="宋体" w:cs="宋体"/>
          <w:b/>
          <w:bCs/>
          <w:color w:val="auto"/>
          <w:spacing w:val="-11"/>
          <w:sz w:val="28"/>
          <w:szCs w:val="28"/>
          <w:lang w:eastAsia="zh-CN"/>
        </w:rPr>
        <w:t>胡家营镇2025年农村饮水安全排查改造提升项目</w:t>
      </w:r>
    </w:p>
    <w:p w14:paraId="550CFBC2">
      <w:pPr>
        <w:keepNext w:val="0"/>
        <w:keepLines w:val="0"/>
        <w:pageBreakBefore w:val="0"/>
        <w:widowControl w:val="0"/>
        <w:kinsoku/>
        <w:overflowPunct/>
        <w:topLinePunct w:val="0"/>
        <w:autoSpaceDE/>
        <w:autoSpaceDN/>
        <w:bidi w:val="0"/>
        <w:adjustRightInd/>
        <w:snapToGrid/>
        <w:spacing w:line="400" w:lineRule="exact"/>
        <w:jc w:val="center"/>
        <w:textAlignment w:val="auto"/>
        <w:rPr>
          <w:rFonts w:hint="eastAsia" w:ascii="宋体" w:hAnsi="宋体" w:eastAsia="宋体" w:cs="宋体"/>
          <w:b/>
          <w:bCs/>
          <w:color w:val="auto"/>
          <w:spacing w:val="-11"/>
          <w:sz w:val="28"/>
          <w:szCs w:val="28"/>
        </w:rPr>
      </w:pPr>
      <w:r>
        <w:rPr>
          <w:rFonts w:hint="eastAsia" w:ascii="宋体" w:hAnsi="宋体" w:eastAsia="宋体" w:cs="宋体"/>
          <w:b/>
          <w:bCs/>
          <w:color w:val="auto"/>
          <w:spacing w:val="-11"/>
          <w:sz w:val="28"/>
          <w:szCs w:val="28"/>
        </w:rPr>
        <w:t>施工承包合同</w:t>
      </w:r>
    </w:p>
    <w:p w14:paraId="20580AAD">
      <w:pPr>
        <w:keepNext w:val="0"/>
        <w:keepLines w:val="0"/>
        <w:pageBreakBefore w:val="0"/>
        <w:widowControl w:val="0"/>
        <w:kinsoku/>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南供水合同字【2025】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号</w:t>
      </w:r>
    </w:p>
    <w:p w14:paraId="08495B8A">
      <w:pPr>
        <w:keepNext w:val="0"/>
        <w:keepLines w:val="0"/>
        <w:pageBreakBefore w:val="0"/>
        <w:widowControl w:val="0"/>
        <w:kinsoku/>
        <w:overflowPunct/>
        <w:topLinePunct w:val="0"/>
        <w:autoSpaceDE/>
        <w:autoSpaceDN/>
        <w:bidi w:val="0"/>
        <w:adjustRightInd/>
        <w:snapToGrid/>
        <w:spacing w:line="440" w:lineRule="exact"/>
        <w:jc w:val="left"/>
        <w:textAlignment w:val="auto"/>
        <w:rPr>
          <w:rFonts w:hint="eastAsia" w:ascii="宋体" w:hAnsi="宋体" w:eastAsia="宋体" w:cs="宋体"/>
          <w:color w:val="auto"/>
          <w:spacing w:val="-11"/>
          <w:sz w:val="24"/>
          <w:szCs w:val="24"/>
        </w:rPr>
      </w:pPr>
      <w:r>
        <w:rPr>
          <w:rFonts w:hint="eastAsia" w:ascii="宋体" w:hAnsi="宋体" w:eastAsia="宋体" w:cs="宋体"/>
          <w:b/>
          <w:bCs/>
          <w:color w:val="auto"/>
          <w:spacing w:val="-11"/>
          <w:sz w:val="24"/>
          <w:szCs w:val="24"/>
        </w:rPr>
        <w:t>发包方（甲方）：</w:t>
      </w:r>
      <w:r>
        <w:rPr>
          <w:rFonts w:hint="eastAsia" w:ascii="宋体" w:hAnsi="宋体" w:eastAsia="宋体" w:cs="宋体"/>
          <w:color w:val="auto"/>
          <w:spacing w:val="-11"/>
          <w:sz w:val="24"/>
          <w:szCs w:val="24"/>
          <w:u w:val="single"/>
        </w:rPr>
        <w:t>汉中市南郑区农村供水管理中心</w:t>
      </w:r>
    </w:p>
    <w:p w14:paraId="56343E3C">
      <w:pPr>
        <w:keepNext w:val="0"/>
        <w:keepLines w:val="0"/>
        <w:pageBreakBefore w:val="0"/>
        <w:widowControl w:val="0"/>
        <w:kinsoku/>
        <w:overflowPunct/>
        <w:topLinePunct w:val="0"/>
        <w:autoSpaceDE/>
        <w:autoSpaceDN/>
        <w:bidi w:val="0"/>
        <w:adjustRightInd/>
        <w:snapToGrid/>
        <w:spacing w:line="440" w:lineRule="exact"/>
        <w:jc w:val="left"/>
        <w:textAlignment w:val="auto"/>
        <w:rPr>
          <w:rFonts w:hint="eastAsia" w:ascii="宋体" w:hAnsi="宋体" w:eastAsia="宋体" w:cs="宋体"/>
          <w:color w:val="auto"/>
          <w:spacing w:val="-11"/>
          <w:sz w:val="24"/>
          <w:szCs w:val="24"/>
        </w:rPr>
      </w:pPr>
      <w:r>
        <w:rPr>
          <w:rFonts w:hint="eastAsia" w:ascii="宋体" w:hAnsi="宋体" w:eastAsia="宋体" w:cs="宋体"/>
          <w:b/>
          <w:bCs/>
          <w:color w:val="auto"/>
          <w:spacing w:val="-11"/>
          <w:sz w:val="24"/>
          <w:szCs w:val="24"/>
        </w:rPr>
        <w:t>承包方（乙方）：</w:t>
      </w:r>
      <w:r>
        <w:rPr>
          <w:rFonts w:hint="eastAsia" w:ascii="宋体" w:hAnsi="宋体" w:eastAsia="宋体" w:cs="宋体"/>
          <w:color w:val="auto"/>
          <w:spacing w:val="-11"/>
          <w:sz w:val="24"/>
          <w:szCs w:val="24"/>
          <w:u w:val="single"/>
        </w:rPr>
        <w:t xml:space="preserve">                        </w:t>
      </w:r>
      <w:r>
        <w:rPr>
          <w:rFonts w:hint="eastAsia" w:ascii="宋体" w:hAnsi="宋体" w:eastAsia="宋体" w:cs="宋体"/>
          <w:color w:val="auto"/>
          <w:spacing w:val="-11"/>
          <w:sz w:val="24"/>
          <w:szCs w:val="24"/>
        </w:rPr>
        <w:t xml:space="preserve">    项目经理：</w:t>
      </w:r>
      <w:r>
        <w:rPr>
          <w:rFonts w:hint="eastAsia" w:ascii="宋体" w:hAnsi="宋体" w:eastAsia="宋体" w:cs="宋体"/>
          <w:b/>
          <w:bCs/>
          <w:color w:val="auto"/>
          <w:spacing w:val="-11"/>
          <w:sz w:val="24"/>
          <w:szCs w:val="24"/>
          <w:u w:val="single"/>
        </w:rPr>
        <w:t xml:space="preserve">  </w:t>
      </w:r>
      <w:r>
        <w:rPr>
          <w:rFonts w:hint="eastAsia" w:ascii="宋体" w:hAnsi="宋体" w:eastAsia="宋体" w:cs="宋体"/>
          <w:b/>
          <w:bCs/>
          <w:color w:val="auto"/>
          <w:spacing w:val="-11"/>
          <w:sz w:val="24"/>
          <w:szCs w:val="24"/>
          <w:u w:val="single"/>
          <w:lang w:val="en-US" w:eastAsia="zh-CN"/>
        </w:rPr>
        <w:t xml:space="preserve">   </w:t>
      </w:r>
      <w:r>
        <w:rPr>
          <w:rFonts w:hint="eastAsia" w:ascii="宋体" w:hAnsi="宋体" w:eastAsia="宋体" w:cs="宋体"/>
          <w:b/>
          <w:bCs/>
          <w:color w:val="auto"/>
          <w:spacing w:val="-11"/>
          <w:sz w:val="24"/>
          <w:szCs w:val="24"/>
          <w:u w:val="single"/>
        </w:rPr>
        <w:t xml:space="preserve">   </w:t>
      </w:r>
    </w:p>
    <w:p w14:paraId="49D4433A">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依照中华人民共和国《合同法》</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民法典</w:t>
      </w:r>
      <w:r>
        <w:rPr>
          <w:rFonts w:hint="eastAsia" w:ascii="宋体" w:hAnsi="宋体" w:eastAsia="宋体" w:cs="宋体"/>
          <w:color w:val="auto"/>
          <w:sz w:val="24"/>
          <w:szCs w:val="24"/>
        </w:rPr>
        <w:t>》和《建筑安装工程承包合同条例》及有关规定，为明确双方在施工过程中的权利、义务和责任，经双方协商，签订本合同。</w:t>
      </w:r>
    </w:p>
    <w:p w14:paraId="0B553D89">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第一条 工程项目</w:t>
      </w:r>
    </w:p>
    <w:p w14:paraId="22E94784">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pacing w:val="-23"/>
          <w:sz w:val="24"/>
          <w:szCs w:val="24"/>
          <w:u w:val="single"/>
        </w:rPr>
      </w:pPr>
      <w:r>
        <w:rPr>
          <w:rFonts w:hint="eastAsia" w:ascii="宋体" w:hAnsi="宋体" w:eastAsia="宋体" w:cs="宋体"/>
          <w:color w:val="auto"/>
          <w:sz w:val="24"/>
          <w:szCs w:val="24"/>
        </w:rPr>
        <w:t>一、工程名称：</w:t>
      </w:r>
      <w:r>
        <w:rPr>
          <w:rFonts w:hint="eastAsia" w:ascii="宋体" w:hAnsi="宋体" w:eastAsia="宋体" w:cs="宋体"/>
          <w:color w:val="auto"/>
          <w:spacing w:val="-23"/>
          <w:sz w:val="24"/>
          <w:szCs w:val="24"/>
          <w:u w:val="single"/>
        </w:rPr>
        <w:t xml:space="preserve">                                           </w:t>
      </w:r>
    </w:p>
    <w:p w14:paraId="51116F4D">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二、工程地点：</w:t>
      </w:r>
      <w:r>
        <w:rPr>
          <w:rFonts w:hint="eastAsia" w:ascii="宋体" w:hAnsi="宋体" w:eastAsia="宋体" w:cs="宋体"/>
          <w:color w:val="auto"/>
          <w:sz w:val="24"/>
          <w:szCs w:val="24"/>
          <w:u w:val="single"/>
        </w:rPr>
        <w:t xml:space="preserve">                              </w:t>
      </w:r>
    </w:p>
    <w:p w14:paraId="5FAFF41F">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三、承包建设范围和内容：建设范围主要包括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。建设内容详见合同工程量清单。(该工程若包括水质净化设备,需明确水质净化指标)。</w:t>
      </w:r>
    </w:p>
    <w:p w14:paraId="6C89DC31">
      <w:pPr>
        <w:keepNext w:val="0"/>
        <w:keepLines w:val="0"/>
        <w:pageBreakBefore w:val="0"/>
        <w:widowControl w:val="0"/>
        <w:kinsoku/>
        <w:overflowPunct/>
        <w:topLinePunct w:val="0"/>
        <w:autoSpaceDE/>
        <w:autoSpaceDN/>
        <w:bidi w:val="0"/>
        <w:adjustRightInd/>
        <w:snapToGrid/>
        <w:spacing w:line="440" w:lineRule="exact"/>
        <w:ind w:left="27" w:leftChars="13" w:firstLine="480" w:firstLineChars="200"/>
        <w:textAlignment w:val="auto"/>
        <w:rPr>
          <w:rFonts w:hint="eastAsia" w:ascii="宋体" w:hAnsi="宋体" w:eastAsia="宋体" w:cs="宋体"/>
          <w:color w:val="auto"/>
          <w:spacing w:val="-1"/>
          <w:sz w:val="24"/>
          <w:szCs w:val="24"/>
        </w:rPr>
      </w:pPr>
      <w:r>
        <w:rPr>
          <w:rFonts w:hint="eastAsia" w:ascii="宋体" w:hAnsi="宋体" w:eastAsia="宋体" w:cs="宋体"/>
          <w:color w:val="auto"/>
          <w:sz w:val="24"/>
          <w:szCs w:val="24"/>
        </w:rPr>
        <w:t>四、工程造价：本合同价款</w:t>
      </w:r>
      <w:r>
        <w:rPr>
          <w:rFonts w:hint="eastAsia" w:ascii="宋体" w:hAnsi="宋体" w:eastAsia="宋体" w:cs="宋体"/>
          <w:color w:val="auto"/>
          <w:sz w:val="24"/>
          <w:szCs w:val="24"/>
          <w:u w:val="single"/>
        </w:rPr>
        <w:t xml:space="preserve">（大写）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元</w:t>
      </w:r>
      <w:r>
        <w:rPr>
          <w:rFonts w:hint="eastAsia" w:ascii="宋体" w:hAnsi="宋体" w:eastAsia="宋体" w:cs="宋体"/>
          <w:color w:val="auto"/>
          <w:sz w:val="24"/>
          <w:szCs w:val="24"/>
        </w:rPr>
        <w:t>）（含管道材料、设备费用，并包含管材检测、提供货物的制造、出厂检测、工厂检验和监造、培训、运输、保险、装卸、施工现场技术服务、二次运输费用，设备现场保管费用、安装、调试、备品备件、检测、水质化验和维修专用工具、应交纳税费、伴随服务费、售后服务、购置相关税费等因素本项目所涉及的一切相关费用在内，对于设备价格</w:t>
      </w:r>
      <w:r>
        <w:rPr>
          <w:rFonts w:hint="eastAsia" w:ascii="宋体" w:hAnsi="宋体" w:eastAsia="宋体" w:cs="宋体"/>
          <w:color w:val="auto"/>
          <w:spacing w:val="-3"/>
          <w:sz w:val="24"/>
          <w:szCs w:val="24"/>
        </w:rPr>
        <w:t>不受市场价变化或实际工作量变化的影响</w:t>
      </w:r>
      <w:r>
        <w:rPr>
          <w:rFonts w:hint="eastAsia" w:ascii="宋体" w:hAnsi="宋体" w:eastAsia="宋体" w:cs="宋体"/>
          <w:color w:val="auto"/>
          <w:sz w:val="24"/>
          <w:szCs w:val="24"/>
        </w:rPr>
        <w:t>），工程量清单见附表，最终以决算为准。若决算总额（含前期费在内）超过资金下达金额的，超出部分由施工方自行负责，与甲方无关。</w:t>
      </w:r>
    </w:p>
    <w:p w14:paraId="1ABD889A">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第二条 工程期限</w:t>
      </w:r>
    </w:p>
    <w:p w14:paraId="6FC16582">
      <w:pPr>
        <w:keepNext w:val="0"/>
        <w:keepLines w:val="0"/>
        <w:pageBreakBefore w:val="0"/>
        <w:widowControl w:val="0"/>
        <w:kinsoku/>
        <w:wordWrap w:val="0"/>
        <w:overflowPunct/>
        <w:topLinePunct w:val="0"/>
        <w:autoSpaceDE/>
        <w:autoSpaceDN/>
        <w:bidi w:val="0"/>
        <w:adjustRightInd/>
        <w:snapToGrid/>
        <w:spacing w:line="440" w:lineRule="exact"/>
        <w:ind w:left="638" w:leftChars="304"/>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一、计划开竣工日期：工程自</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开工，至</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竣工，工期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w:t>
      </w:r>
    </w:p>
    <w:p w14:paraId="035D5AC0">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二、在施工过程中，如遇下列情况，可顺延工期。</w:t>
      </w:r>
    </w:p>
    <w:p w14:paraId="6215AC12">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1.由于人力不可抗拒的自然灾害，而被迫停工者；</w:t>
      </w:r>
    </w:p>
    <w:p w14:paraId="795C9648">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2.因甲方变更计划或变更设计，而不能继续施工者。</w:t>
      </w:r>
    </w:p>
    <w:p w14:paraId="2BBE656C">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第三条 物资供应</w:t>
      </w:r>
    </w:p>
    <w:p w14:paraId="3676C142">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施工所用管道材料由乙方自主采购符合国家规定的PE100级生活饮用水给水管材，所用的设备要按照设计</w:t>
      </w:r>
      <w:r>
        <w:rPr>
          <w:rFonts w:hint="eastAsia" w:ascii="宋体" w:hAnsi="宋体" w:eastAsia="宋体" w:cs="宋体"/>
          <w:color w:val="auto"/>
          <w:spacing w:val="-3"/>
          <w:sz w:val="24"/>
          <w:szCs w:val="24"/>
        </w:rPr>
        <w:t>规格、数量购置安装。</w:t>
      </w:r>
    </w:p>
    <w:p w14:paraId="485D4866">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第四条 工程款结算</w:t>
      </w:r>
    </w:p>
    <w:p w14:paraId="5E35F9E3">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一、本工程开工后，可预付合同工程款的30%，也可根据工程形象进度，经甲方签证，乙方持当地税务票据、有关签证单及申请结算工程款；</w:t>
      </w:r>
    </w:p>
    <w:p w14:paraId="08CFEF89">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二、分项工程均根据签证的工程量增减价款；</w:t>
      </w:r>
    </w:p>
    <w:p w14:paraId="659EB6CD">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三、临时工程费用由乙方包干使用，备用金支出项目由甲方控制，乙方不得擅自支出；</w:t>
      </w:r>
    </w:p>
    <w:p w14:paraId="4F83D825">
      <w:pPr>
        <w:keepNext w:val="0"/>
        <w:keepLines w:val="0"/>
        <w:pageBreakBefore w:val="0"/>
        <w:widowControl w:val="0"/>
        <w:kinsoku/>
        <w:overflowPunct/>
        <w:topLinePunct w:val="0"/>
        <w:autoSpaceDE/>
        <w:autoSpaceDN/>
        <w:bidi w:val="0"/>
        <w:adjustRightInd/>
        <w:snapToGrid/>
        <w:spacing w:line="440" w:lineRule="exact"/>
        <w:ind w:firstLine="523"/>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四、入户工程补助标准为de25入户管道（每户均长不少于30米）、1水表、1球阀、1水池、1水龙头，按实际完成户数填写入户登记表并用户签字，村委会盖章后付给补助。不足部分由用户承担；</w:t>
      </w:r>
    </w:p>
    <w:p w14:paraId="7E61651B">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五、工程竣工，设备运行正常，经甲方组织验收合格，完成竣工决算，乙方提供两套竣工资料和施工过程及竣工成果照片后，持有关签证单和当地税务票据进行竣工结算。结付资金达到应付资金的80％，决算审计后，结付资金达到应付资金的97％，剩余的3％资金作为质量保证金，保修期满后无质量问题结清。</w:t>
      </w:r>
    </w:p>
    <w:p w14:paraId="52DC68CD">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第五条 施工与设计变更</w:t>
      </w:r>
    </w:p>
    <w:p w14:paraId="386D6E44">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一、甲方负责进行工程监督与管理，对已成合格工程进行阶段验收并签证，按照约定结付阶段工程资金。</w:t>
      </w:r>
    </w:p>
    <w:p w14:paraId="1E26B5C9">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二、乙方要依据国家颁发的施工验收规范、质量检验标准以及设计要求组织施工并达到合格。采购的成套设备和机电产品必须有合格证和“3C”认证。</w:t>
      </w:r>
    </w:p>
    <w:p w14:paraId="2AA9C740">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三、乙方要坚持按图施工，不得随意变更设计。如遇下列情况给对方造成损失，应由责任方负担：</w:t>
      </w:r>
    </w:p>
    <w:p w14:paraId="46FD7C85">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施工中如发现设计有错误或严重不合理的地方，乙方应及时通知甲方，由甲方在7天内商原设计单位，提出修改或变更设计文件，核实工程量，甲方代表签字后方可变更。未经甲方允许自行变更甲方不予认可，造成的经济损失由乙方承担，并罚款1000-3000元。</w:t>
      </w:r>
    </w:p>
    <w:p w14:paraId="37D9595F">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2.在施工中，如遇设计变更超出原设计标准或规模时，应在施工前报甲方审批同意，方可施工。</w:t>
      </w:r>
    </w:p>
    <w:p w14:paraId="0E960923">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四、De32mm以上管道安装工程，按最长不超过1000m为一段进行打压试验，由相关人员签认。凡隐蔽工程完成后，乙方要通知甲方及相关单位进行验收，并办理隐蔽工程验收手续。</w:t>
      </w:r>
    </w:p>
    <w:p w14:paraId="0DC4E92F">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五、乙方要积极协调与受益方的关系，负责按照设计要求挖好管道基槽（管道基槽开挖深度必须达到0.7m以上），并接受现场施工技术人员的监督，确保工程质量和进度。</w:t>
      </w:r>
    </w:p>
    <w:p w14:paraId="3768EF54">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六、乙方要制订严格的安全管理制度，在施工和设备运输中落实安全措施，切实做好安全工作。工程施工期间的安全责任由乙方全面承担，发生不安全事故与甲方无关。</w:t>
      </w:r>
    </w:p>
    <w:p w14:paraId="7D09BCF6">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第六条 竣工验收、结算与保修</w:t>
      </w:r>
    </w:p>
    <w:p w14:paraId="1B50956E">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工程分阶段验收和竣工验收。阶段验收由甲方组织有关人员现场验收签证。竣工验收由甲方组织，乙方在工程完工后以书面形式向甲方申请验收。甲方收到验收申请后，应及时安排验收，并提前一天通知乙方接受验收。</w:t>
      </w:r>
    </w:p>
    <w:p w14:paraId="01C37C72">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二、竣工工程验收合格后，由甲方向管理单位移交。</w:t>
      </w:r>
    </w:p>
    <w:p w14:paraId="63459C12">
      <w:pPr>
        <w:keepNext w:val="0"/>
        <w:keepLines w:val="0"/>
        <w:pageBreakBefore w:val="0"/>
        <w:widowControl w:val="0"/>
        <w:kinsoku/>
        <w:overflowPunct/>
        <w:topLinePunct w:val="0"/>
        <w:autoSpaceDE/>
        <w:autoSpaceDN/>
        <w:bidi w:val="0"/>
        <w:adjustRightInd/>
        <w:snapToGrid/>
        <w:spacing w:line="440" w:lineRule="exact"/>
        <w:ind w:firstLine="470" w:firstLineChars="196"/>
        <w:textAlignment w:val="auto"/>
        <w:outlineLvl w:val="0"/>
        <w:rPr>
          <w:rFonts w:hint="eastAsia" w:ascii="宋体" w:hAnsi="宋体" w:eastAsia="宋体" w:cs="宋体"/>
          <w:color w:val="auto"/>
          <w:sz w:val="24"/>
          <w:szCs w:val="24"/>
        </w:rPr>
      </w:pPr>
      <w:r>
        <w:rPr>
          <w:rFonts w:hint="eastAsia" w:ascii="宋体" w:hAnsi="宋体" w:eastAsia="宋体" w:cs="宋体"/>
          <w:color w:val="auto"/>
          <w:sz w:val="24"/>
          <w:szCs w:val="24"/>
        </w:rPr>
        <w:t>三、在进行竣工验收中，如发现工程质量不符合规定，乙方应负责无偿修理或返工，并在双方议定的措施和期限内完成。对于水质净化设备，处理后的所有水质检测报告中相关项指标均应符合现行《生活饮用水卫生标准》要求，否则视为验收不合格设备，乙方应无条件退货或更换，并承担甲方相关损失。经验收合格后，再行移交。由此造成工程逾期交付的，乙方应承担违约责任。</w:t>
      </w:r>
    </w:p>
    <w:p w14:paraId="4268225E">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四、工程竣工验收，以国家颁发的施工验收规范、标准及施工文件为依据。乙方应在验收前10天向甲方提供以下文件：</w:t>
      </w:r>
    </w:p>
    <w:p w14:paraId="4CD22F6D">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（一）对于建筑工程。</w:t>
      </w:r>
    </w:p>
    <w:p w14:paraId="5047B829">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1.增减变更文件和其他洽商记录；</w:t>
      </w:r>
    </w:p>
    <w:p w14:paraId="1F8D790F">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2.隐蔽工程验收记录和阶段验收记录；</w:t>
      </w:r>
    </w:p>
    <w:p w14:paraId="0AC32D77">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3.工程施工过程（含隐蔽工程施工）纸质照片和电子版照片各1套；</w:t>
      </w:r>
    </w:p>
    <w:p w14:paraId="1C78EBCD">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4.工程竣工后，乙方应绘制竣工图。工程变更不大的由乙方在原施工图上加以说明，提交甲方存档。</w:t>
      </w:r>
    </w:p>
    <w:p w14:paraId="318F6C47">
      <w:pPr>
        <w:keepNext w:val="0"/>
        <w:keepLines w:val="0"/>
        <w:pageBreakBefore w:val="0"/>
        <w:widowControl w:val="0"/>
        <w:kinsoku/>
        <w:overflowPunct/>
        <w:topLinePunct w:val="0"/>
        <w:autoSpaceDE/>
        <w:autoSpaceDN/>
        <w:bidi w:val="0"/>
        <w:adjustRightInd/>
        <w:snapToGrid/>
        <w:spacing w:line="440" w:lineRule="exact"/>
        <w:ind w:firstLine="470" w:firstLineChars="196"/>
        <w:textAlignment w:val="auto"/>
        <w:rPr>
          <w:rFonts w:hint="eastAsia" w:ascii="宋体" w:hAnsi="宋体" w:eastAsia="宋体" w:cs="宋体"/>
          <w:color w:val="auto"/>
          <w:spacing w:val="-3"/>
          <w:sz w:val="24"/>
          <w:szCs w:val="24"/>
        </w:rPr>
      </w:pPr>
      <w:r>
        <w:rPr>
          <w:rFonts w:hint="eastAsia" w:ascii="宋体" w:hAnsi="宋体" w:eastAsia="宋体" w:cs="宋体"/>
          <w:color w:val="auto"/>
          <w:sz w:val="24"/>
          <w:szCs w:val="24"/>
        </w:rPr>
        <w:t>（二）对于设备购安工程。</w:t>
      </w:r>
    </w:p>
    <w:p w14:paraId="3A8DD577">
      <w:pPr>
        <w:keepNext w:val="0"/>
        <w:keepLines w:val="0"/>
        <w:pageBreakBefore w:val="0"/>
        <w:widowControl w:val="0"/>
        <w:kinsoku/>
        <w:overflowPunct/>
        <w:topLinePunct w:val="0"/>
        <w:autoSpaceDE/>
        <w:autoSpaceDN/>
        <w:bidi w:val="0"/>
        <w:adjustRightInd/>
        <w:snapToGrid/>
        <w:spacing w:line="440" w:lineRule="exact"/>
        <w:ind w:firstLine="468" w:firstLineChars="200"/>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1.完整的产品操作使用手册、说明书和维护、修理技术文件、图纸、保修卡等；</w:t>
      </w:r>
    </w:p>
    <w:p w14:paraId="71B148A8">
      <w:pPr>
        <w:keepNext w:val="0"/>
        <w:keepLines w:val="0"/>
        <w:pageBreakBefore w:val="0"/>
        <w:widowControl w:val="0"/>
        <w:kinsoku/>
        <w:overflowPunct/>
        <w:topLinePunct w:val="0"/>
        <w:autoSpaceDE/>
        <w:autoSpaceDN/>
        <w:bidi w:val="0"/>
        <w:adjustRightInd/>
        <w:snapToGrid/>
        <w:spacing w:line="440" w:lineRule="exact"/>
        <w:ind w:firstLine="468" w:firstLineChars="200"/>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2.制造厂的检验、测试报告、产品检验合格证书，质量保证书等文件验收时须一并提供；</w:t>
      </w:r>
    </w:p>
    <w:p w14:paraId="15BD9FC3">
      <w:pPr>
        <w:keepNext w:val="0"/>
        <w:keepLines w:val="0"/>
        <w:pageBreakBefore w:val="0"/>
        <w:widowControl w:val="0"/>
        <w:kinsoku/>
        <w:overflowPunct/>
        <w:topLinePunct w:val="0"/>
        <w:autoSpaceDE/>
        <w:autoSpaceDN/>
        <w:bidi w:val="0"/>
        <w:adjustRightInd/>
        <w:snapToGrid/>
        <w:spacing w:line="440" w:lineRule="exact"/>
        <w:ind w:firstLine="468" w:firstLineChars="200"/>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3.技术说明书及必须的其它技术资料；</w:t>
      </w:r>
    </w:p>
    <w:p w14:paraId="2962A62D">
      <w:pPr>
        <w:keepNext w:val="0"/>
        <w:keepLines w:val="0"/>
        <w:pageBreakBefore w:val="0"/>
        <w:widowControl w:val="0"/>
        <w:kinsoku/>
        <w:overflowPunct/>
        <w:topLinePunct w:val="0"/>
        <w:autoSpaceDE/>
        <w:autoSpaceDN/>
        <w:bidi w:val="0"/>
        <w:adjustRightInd/>
        <w:snapToGrid/>
        <w:spacing w:line="440" w:lineRule="exact"/>
        <w:ind w:firstLine="468" w:firstLineChars="200"/>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4.产品安装、调试及原理图；</w:t>
      </w:r>
    </w:p>
    <w:p w14:paraId="29EBB801">
      <w:pPr>
        <w:keepNext w:val="0"/>
        <w:keepLines w:val="0"/>
        <w:pageBreakBefore w:val="0"/>
        <w:widowControl w:val="0"/>
        <w:kinsoku/>
        <w:overflowPunct/>
        <w:topLinePunct w:val="0"/>
        <w:autoSpaceDE/>
        <w:autoSpaceDN/>
        <w:bidi w:val="0"/>
        <w:adjustRightInd/>
        <w:snapToGrid/>
        <w:spacing w:line="440" w:lineRule="exact"/>
        <w:ind w:firstLine="468" w:firstLineChars="200"/>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5.备品备件、易损件清单；</w:t>
      </w:r>
    </w:p>
    <w:p w14:paraId="4DA20502">
      <w:pPr>
        <w:keepNext w:val="0"/>
        <w:keepLines w:val="0"/>
        <w:pageBreakBefore w:val="0"/>
        <w:widowControl w:val="0"/>
        <w:kinsoku/>
        <w:overflowPunct/>
        <w:topLinePunct w:val="0"/>
        <w:autoSpaceDE/>
        <w:autoSpaceDN/>
        <w:bidi w:val="0"/>
        <w:adjustRightInd/>
        <w:snapToGrid/>
        <w:spacing w:line="440" w:lineRule="exact"/>
        <w:ind w:firstLine="468" w:firstLineChars="200"/>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6.整体验收后提供验收报告。</w:t>
      </w:r>
    </w:p>
    <w:p w14:paraId="09F98021">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五、乙方应于竣工验收后15天内，将竣工结算件两套送交甲方进行审查。甲方应在接到竣工结算件后，15天内审查完毕。</w:t>
      </w:r>
    </w:p>
    <w:p w14:paraId="59C0C4FB">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六、从工程移交之日起，乙方对施工的工程（含设备）负责保修一年。对购安的水质净化设备履行以下质量保证条款：</w:t>
      </w:r>
    </w:p>
    <w:p w14:paraId="0ACDCF57">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设备在正常运行期内(含质保期外)，每次取水样检测，相关指标必须达到现行《生活饮用水卫生标准》要求。否则，均视为质量不合格，甲方有权要求乙方在3日内更换、维修，直至水质达标。处理仍不达标的，甲方有权要求乙方在5日内拆迁该设备、恢复原有系统，并要求乙方退还全部款项。乙方拒不按要求限期更换、维修、拆迁、恢复的，甲方有权自行或委托其他人实施，所需费用由乙方承担。质保期外、设备设计寿命期内，乙方对因设计、制造、安装所造成的缺陷、质量问题、正常使用寿命期不达标等负全部责任，并免费负责消除缺陷、整改完善。</w:t>
      </w:r>
    </w:p>
    <w:p w14:paraId="78994C2C">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乙方提供的产品、配件及材料必须保证质量可靠，配置合理齐全，应全面满足合同要求，生产设备具备卫生行政主管部门颁发的饮用水卫生安全产品许可证批件或产品检测合格报告，否则，由乙方承担全部责任。</w:t>
      </w:r>
    </w:p>
    <w:p w14:paraId="3336B53D">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3.乙方应保证所有产品的完好无损包括配套包装，如有缺漏、损坏，由乙方负责调换、补齐或赔偿。</w:t>
      </w:r>
    </w:p>
    <w:p w14:paraId="173BDC14">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甲方使用产品过程中因产品质量、产品缺陷及安装质量等造成人身伤亡、财产损失的，由乙方负责解决并承担全部责任；乙方应对安装调试、整改等实施过程的安全负责，如发生人身伤亡、财产损失的由乙方负责解决并承担全部责任。</w:t>
      </w:r>
    </w:p>
    <w:p w14:paraId="000BCC21">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5.对于存在质量问题或者短少的产品，乙方应在接到甲方的通知2日内负责修复，调换、重新制作或补齐。</w:t>
      </w:r>
    </w:p>
    <w:p w14:paraId="03634544">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6.在最终验收后（含质保期外），乙方应对设计、工艺或材料等的缺陷而产生的故障负责解决并承担全部费用。</w:t>
      </w:r>
    </w:p>
    <w:p w14:paraId="46B837C8">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7.乙方及所投产品的生产厂商应做好售后服务，否则，视为违约。</w:t>
      </w:r>
    </w:p>
    <w:p w14:paraId="06FBB721">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8.质保期内每年至少四次免费上门维护，回访</w:t>
      </w:r>
    </w:p>
    <w:p w14:paraId="62C0D304">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七、工程按期全面完成，质量达优良以上且资料完备符合要求的，甲方奖励乙方现金500元，列入工程决算。</w:t>
      </w:r>
    </w:p>
    <w:p w14:paraId="64842EC8">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第七条 违约责任和纠纷解决方式</w:t>
      </w:r>
    </w:p>
    <w:p w14:paraId="061C71CC">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一、自合同签订并开工之日起，由于乙方责任满7日工程没有动工，甲方有权通知乙方解除合同。</w:t>
      </w:r>
    </w:p>
    <w:p w14:paraId="6B6125E9">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二、由于乙方责任未按本合同规定的日期完工，延期5日内每日处以200元罚款，延期超过5日的每日处以300元罚款。</w:t>
      </w:r>
    </w:p>
    <w:p w14:paraId="75992AB7">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三、甲方不得借故拖欠各种应付款项，如拖期不付，按银行的短期贷款利率偿付给对方逾期付款违约金。</w:t>
      </w:r>
    </w:p>
    <w:p w14:paraId="6D26F998">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四、乙方拖欠工人工资和应付的材料费，导致上访的，查实后甲方有权直接从承包费中支付，并处乙方罚款1000-2000元。</w:t>
      </w:r>
    </w:p>
    <w:p w14:paraId="7D6DEDF6">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五、乙方不按甲方合同要求购安管材的，并处乙方违约部分金额的等额罚款。</w:t>
      </w:r>
    </w:p>
    <w:p w14:paraId="0EE3EB31">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六、合同未尽事宜，双方协商解决；合同发生纠纷时，双方应及时协商，协商不成时，任何一方均可直接向人民法院起诉。</w:t>
      </w:r>
    </w:p>
    <w:p w14:paraId="681B17DA">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第八条 合同附件</w:t>
      </w:r>
    </w:p>
    <w:p w14:paraId="36280346">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一、合同工程量清单；</w:t>
      </w:r>
    </w:p>
    <w:p w14:paraId="156BF4C7">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二、设计文件和全部施工图纸（单独移交）；</w:t>
      </w:r>
    </w:p>
    <w:p w14:paraId="15EC4654">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三、招标文件（已发投标单位）。</w:t>
      </w:r>
    </w:p>
    <w:p w14:paraId="05C788CF">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第九条 合同份数及有效期</w:t>
      </w:r>
    </w:p>
    <w:p w14:paraId="4630847F">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一、本合同一式</w:t>
      </w:r>
      <w:r>
        <w:rPr>
          <w:rFonts w:hint="eastAsia" w:ascii="宋体" w:hAnsi="宋体" w:eastAsia="宋体" w:cs="宋体"/>
          <w:color w:val="auto"/>
          <w:sz w:val="24"/>
          <w:szCs w:val="24"/>
          <w:u w:val="single"/>
        </w:rPr>
        <w:t>五</w:t>
      </w:r>
      <w:r>
        <w:rPr>
          <w:rFonts w:hint="eastAsia" w:ascii="宋体" w:hAnsi="宋体" w:eastAsia="宋体" w:cs="宋体"/>
          <w:color w:val="auto"/>
          <w:sz w:val="24"/>
          <w:szCs w:val="24"/>
        </w:rPr>
        <w:t>份，甲方</w:t>
      </w:r>
      <w:r>
        <w:rPr>
          <w:rFonts w:hint="eastAsia" w:ascii="宋体" w:hAnsi="宋体" w:eastAsia="宋体" w:cs="宋体"/>
          <w:color w:val="auto"/>
          <w:sz w:val="24"/>
          <w:szCs w:val="24"/>
          <w:u w:val="single"/>
        </w:rPr>
        <w:t>三</w:t>
      </w:r>
      <w:r>
        <w:rPr>
          <w:rFonts w:hint="eastAsia" w:ascii="宋体" w:hAnsi="宋体" w:eastAsia="宋体" w:cs="宋体"/>
          <w:color w:val="auto"/>
          <w:sz w:val="24"/>
          <w:szCs w:val="24"/>
        </w:rPr>
        <w:t>份，乙方</w:t>
      </w:r>
      <w:r>
        <w:rPr>
          <w:rFonts w:hint="eastAsia" w:ascii="宋体" w:hAnsi="宋体" w:eastAsia="宋体" w:cs="宋体"/>
          <w:color w:val="auto"/>
          <w:sz w:val="24"/>
          <w:szCs w:val="24"/>
          <w:u w:val="single"/>
        </w:rPr>
        <w:t>两</w:t>
      </w:r>
      <w:r>
        <w:rPr>
          <w:rFonts w:hint="eastAsia" w:ascii="宋体" w:hAnsi="宋体" w:eastAsia="宋体" w:cs="宋体"/>
          <w:color w:val="auto"/>
          <w:sz w:val="24"/>
          <w:szCs w:val="24"/>
        </w:rPr>
        <w:t>份，具同等效力。</w:t>
      </w:r>
    </w:p>
    <w:p w14:paraId="54EB6D75">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二、本合同自双方签订之日起生效，在全部工程竣工验收并结清尾款后失效。</w:t>
      </w:r>
    </w:p>
    <w:p w14:paraId="2E455994">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p>
    <w:p w14:paraId="10FF0C1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甲方（盖章）：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乙方（盖章）：</w:t>
      </w:r>
    </w:p>
    <w:p w14:paraId="2D9B4B7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p>
    <w:p w14:paraId="3860A92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法定代表人（签字）：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法定代表人（签字）：</w:t>
      </w:r>
    </w:p>
    <w:p w14:paraId="3205CFC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p>
    <w:p w14:paraId="4E30152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地址：南郑区汉山街道西大街68号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地址：</w:t>
      </w:r>
    </w:p>
    <w:p w14:paraId="2A7A6AB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电话：0916-5514010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电话：</w:t>
      </w:r>
    </w:p>
    <w:p w14:paraId="38800F66">
      <w:pPr>
        <w:keepNext w:val="0"/>
        <w:keepLines w:val="0"/>
        <w:pageBreakBefore w:val="0"/>
        <w:widowControl w:val="0"/>
        <w:kinsoku/>
        <w:wordWrap/>
        <w:overflowPunct/>
        <w:topLinePunct w:val="0"/>
        <w:autoSpaceDE/>
        <w:autoSpaceDN/>
        <w:bidi w:val="0"/>
        <w:adjustRightInd/>
        <w:snapToGrid/>
        <w:spacing w:line="440" w:lineRule="exact"/>
        <w:ind w:firstLine="5520" w:firstLineChars="2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开户行：</w:t>
      </w:r>
    </w:p>
    <w:p w14:paraId="651FB01F">
      <w:pPr>
        <w:keepNext w:val="0"/>
        <w:keepLines w:val="0"/>
        <w:pageBreakBefore w:val="0"/>
        <w:widowControl w:val="0"/>
        <w:kinsoku/>
        <w:wordWrap/>
        <w:overflowPunct/>
        <w:topLinePunct w:val="0"/>
        <w:autoSpaceDE/>
        <w:autoSpaceDN/>
        <w:bidi w:val="0"/>
        <w:adjustRightInd/>
        <w:snapToGrid/>
        <w:spacing w:line="440" w:lineRule="exact"/>
        <w:ind w:firstLine="5280" w:firstLineChars="2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收款单位：</w:t>
      </w:r>
    </w:p>
    <w:p w14:paraId="3E370260">
      <w:pPr>
        <w:keepNext w:val="0"/>
        <w:keepLines w:val="0"/>
        <w:pageBreakBefore w:val="0"/>
        <w:widowControl w:val="0"/>
        <w:kinsoku/>
        <w:wordWrap/>
        <w:overflowPunct/>
        <w:topLinePunct w:val="0"/>
        <w:autoSpaceDE/>
        <w:autoSpaceDN/>
        <w:bidi w:val="0"/>
        <w:adjustRightInd/>
        <w:snapToGrid/>
        <w:spacing w:line="440" w:lineRule="exact"/>
        <w:ind w:firstLine="5280" w:firstLineChars="2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单位账号：</w:t>
      </w:r>
    </w:p>
    <w:p w14:paraId="5100CC63">
      <w:pPr>
        <w:keepNext w:val="0"/>
        <w:keepLines w:val="0"/>
        <w:pageBreakBefore w:val="0"/>
        <w:widowControl w:val="0"/>
        <w:kinsoku/>
        <w:wordWrap/>
        <w:overflowPunct/>
        <w:topLinePunct w:val="0"/>
        <w:autoSpaceDE/>
        <w:autoSpaceDN/>
        <w:bidi w:val="0"/>
        <w:adjustRightInd/>
        <w:snapToGrid/>
        <w:spacing w:line="440" w:lineRule="exact"/>
        <w:ind w:firstLine="3360" w:firstLineChars="1400"/>
        <w:textAlignment w:val="auto"/>
        <w:rPr>
          <w:rFonts w:hint="eastAsia" w:ascii="宋体" w:hAnsi="宋体" w:eastAsia="宋体" w:cs="宋体"/>
          <w:color w:val="auto"/>
          <w:sz w:val="24"/>
          <w:szCs w:val="24"/>
        </w:rPr>
      </w:pPr>
    </w:p>
    <w:p w14:paraId="3DC4A219">
      <w:pPr>
        <w:keepNext w:val="0"/>
        <w:keepLines w:val="0"/>
        <w:pageBreakBefore w:val="0"/>
        <w:widowControl w:val="0"/>
        <w:kinsoku/>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  月   日</w:t>
      </w:r>
    </w:p>
    <w:p w14:paraId="0709D0AD">
      <w:pPr>
        <w:rPr>
          <w:rFonts w:hint="eastAsia" w:ascii="宋体" w:hAnsi="宋体" w:eastAsia="宋体" w:cs="宋体"/>
        </w:rPr>
      </w:pPr>
    </w:p>
    <w:p w14:paraId="0F0C43B7">
      <w:pPr>
        <w:rPr>
          <w:rFonts w:hint="eastAsia" w:ascii="宋体" w:hAnsi="宋体" w:eastAsia="宋体" w:cs="宋体"/>
        </w:rPr>
      </w:pPr>
    </w:p>
    <w:p w14:paraId="1A68D98F">
      <w:pPr>
        <w:rPr>
          <w:rFonts w:hint="eastAsia" w:ascii="宋体" w:hAnsi="宋体" w:eastAsia="宋体" w:cs="宋体"/>
        </w:rPr>
      </w:pPr>
    </w:p>
    <w:p w14:paraId="3DB3F0C6">
      <w:pPr>
        <w:pStyle w:val="14"/>
        <w:rPr>
          <w:rFonts w:hint="eastAsia" w:ascii="宋体" w:hAnsi="宋体" w:eastAsia="宋体" w:cs="宋体"/>
        </w:rPr>
      </w:pPr>
    </w:p>
    <w:p w14:paraId="59AEBBE6">
      <w:pPr>
        <w:rPr>
          <w:rFonts w:hint="eastAsia" w:ascii="宋体" w:hAnsi="宋体" w:eastAsia="宋体" w:cs="宋体"/>
        </w:rPr>
      </w:pPr>
    </w:p>
    <w:bookmarkEnd w:id="2"/>
    <w:bookmarkEnd w:id="3"/>
    <w:bookmarkEnd w:id="4"/>
    <w:p w14:paraId="4CCD879C">
      <w:pPr>
        <w:rPr>
          <w:rFonts w:hint="eastAsia" w:ascii="宋体" w:hAnsi="宋体" w:eastAsia="宋体" w:cs="宋体"/>
        </w:rPr>
      </w:pPr>
      <w:bookmarkStart w:id="5" w:name="_GoBack"/>
      <w:bookmarkEnd w:id="5"/>
    </w:p>
    <w:sectPr>
      <w:headerReference r:id="rId3" w:type="default"/>
      <w:footerReference r:id="rId4" w:type="default"/>
      <w:pgSz w:w="11906" w:h="16838"/>
      <w:pgMar w:top="1440" w:right="1080" w:bottom="1440" w:left="1080" w:header="850"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7F79E">
    <w:pPr>
      <w:pStyle w:val="2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CDB325">
                          <w:pPr>
                            <w:pStyle w:val="20"/>
                          </w:pPr>
                          <w:r>
                            <w:fldChar w:fldCharType="begin"/>
                          </w:r>
                          <w:r>
                            <w:instrText xml:space="preserve"> PAGE  \* MERGEFORMAT </w:instrText>
                          </w:r>
                          <w:r>
                            <w:fldChar w:fldCharType="separate"/>
                          </w:r>
                          <w:r>
                            <w:t>86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2CDB325">
                    <w:pPr>
                      <w:pStyle w:val="20"/>
                    </w:pPr>
                    <w:r>
                      <w:fldChar w:fldCharType="begin"/>
                    </w:r>
                    <w:r>
                      <w:instrText xml:space="preserve"> PAGE  \* MERGEFORMAT </w:instrText>
                    </w:r>
                    <w:r>
                      <w:fldChar w:fldCharType="separate"/>
                    </w:r>
                    <w:r>
                      <w:t>86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F0E27">
    <w:pPr>
      <w:pBdr>
        <w:bottom w:val="none" w:color="auto" w:sz="0" w:space="0"/>
      </w:pBdr>
      <w:spacing w:line="229" w:lineRule="auto"/>
    </w:pPr>
    <w:r>
      <w:rPr>
        <w:rFonts w:hint="eastAsia" w:ascii="宋体" w:hAnsi="宋体" w:eastAsia="宋体" w:cs="宋体"/>
        <w:spacing w:val="9"/>
        <w:sz w:val="17"/>
        <w:szCs w:val="17"/>
        <w:lang w:val="en-US" w:eastAsia="zh-CN"/>
      </w:rPr>
      <w:t xml:space="preserve">  </w:t>
    </w:r>
  </w:p>
  <w:p w14:paraId="031BE072">
    <w:pPr>
      <w:pBdr>
        <w:bottom w:val="none" w:color="auto" w:sz="0" w:space="0"/>
      </w:pBdr>
      <w:spacing w:before="27" w:line="229" w:lineRule="auto"/>
      <w:ind w:left="11"/>
      <w:rPr>
        <w:rFonts w:ascii="宋体" w:hAnsi="宋体" w:eastAsia="宋体" w:cs="宋体"/>
        <w:sz w:val="17"/>
        <w:szCs w:val="17"/>
      </w:rPr>
    </w:pPr>
    <w:r>
      <mc:AlternateContent>
        <mc:Choice Requires="wps">
          <w:drawing>
            <wp:anchor distT="0" distB="0" distL="114300" distR="114300" simplePos="0" relativeHeight="251659264" behindDoc="0" locked="0" layoutInCell="1" allowOverlap="1">
              <wp:simplePos x="0" y="0"/>
              <wp:positionH relativeFrom="column">
                <wp:posOffset>4954270</wp:posOffset>
              </wp:positionH>
              <wp:positionV relativeFrom="paragraph">
                <wp:posOffset>-12065</wp:posOffset>
              </wp:positionV>
              <wp:extent cx="688975" cy="1841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88975" cy="184150"/>
                      </a:xfrm>
                      <a:prstGeom prst="rect">
                        <a:avLst/>
                      </a:prstGeom>
                      <a:noFill/>
                      <a:ln>
                        <a:noFill/>
                      </a:ln>
                    </wps:spPr>
                    <wps:txbx>
                      <w:txbxContent>
                        <w:p w14:paraId="41D1BEA6">
                          <w:pPr>
                            <w:spacing w:before="19" w:line="230" w:lineRule="auto"/>
                            <w:rPr>
                              <w:rFonts w:ascii="黑体" w:hAnsi="黑体" w:eastAsia="黑体" w:cs="黑体"/>
                              <w:sz w:val="20"/>
                              <w:szCs w:val="20"/>
                            </w:rPr>
                          </w:pPr>
                        </w:p>
                      </w:txbxContent>
                    </wps:txbx>
                    <wps:bodyPr lIns="0" tIns="0" rIns="0" bIns="0" upright="1"/>
                  </wps:wsp>
                </a:graphicData>
              </a:graphic>
            </wp:anchor>
          </w:drawing>
        </mc:Choice>
        <mc:Fallback>
          <w:pict>
            <v:shape id="_x0000_s1026" o:spid="_x0000_s1026" o:spt="202" type="#_x0000_t202" style="position:absolute;left:0pt;margin-left:390.1pt;margin-top:-0.95pt;height:14.5pt;width:54.25pt;z-index:251659264;mso-width-relative:page;mso-height-relative:page;" filled="f" stroked="f" coordsize="21600,21600" o:gfxdata="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cCe6j2AAAAAkBAAAPAAAAAAAAAAEAIAAAACIAAABkcnMvZG93bnJldi54bWxQSwEC&#10;FAAUAAAACACHTuJAP3KnBrsBAABxAwAADgAAAAAAAAABACAAAAAnAQAAZHJzL2Uyb0RvYy54bWxQ&#10;SwUGAAAAAAYABgBZAQAAVAUAAAAA&#10;">
              <v:fill on="f" focussize="0,0"/>
              <v:stroke on="f"/>
              <v:imagedata o:title=""/>
              <o:lock v:ext="edit" aspectratio="f"/>
              <v:textbox inset="0mm,0mm,0mm,0mm">
                <w:txbxContent>
                  <w:p w14:paraId="41D1BEA6">
                    <w:pPr>
                      <w:spacing w:before="19" w:line="230" w:lineRule="auto"/>
                      <w:rPr>
                        <w:rFonts w:ascii="黑体" w:hAnsi="黑体" w:eastAsia="黑体" w:cs="黑体"/>
                        <w:sz w:val="20"/>
                        <w:szCs w:val="20"/>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yYjc4YzQwNWI1NzZjZWQ1MGNkZTdjOTYxMDgyOTcifQ=="/>
  </w:docVars>
  <w:rsids>
    <w:rsidRoot w:val="007B6761"/>
    <w:rsid w:val="00002F3B"/>
    <w:rsid w:val="000106EE"/>
    <w:rsid w:val="0001284B"/>
    <w:rsid w:val="000377BB"/>
    <w:rsid w:val="00050EE6"/>
    <w:rsid w:val="0008053B"/>
    <w:rsid w:val="000C6496"/>
    <w:rsid w:val="000C7323"/>
    <w:rsid w:val="000E1890"/>
    <w:rsid w:val="000E461E"/>
    <w:rsid w:val="000F2989"/>
    <w:rsid w:val="000F53B2"/>
    <w:rsid w:val="00104945"/>
    <w:rsid w:val="00120D06"/>
    <w:rsid w:val="001211FD"/>
    <w:rsid w:val="00130252"/>
    <w:rsid w:val="00156524"/>
    <w:rsid w:val="001715B6"/>
    <w:rsid w:val="00181893"/>
    <w:rsid w:val="001B1396"/>
    <w:rsid w:val="001B50F2"/>
    <w:rsid w:val="001D3E5B"/>
    <w:rsid w:val="001D73F9"/>
    <w:rsid w:val="001D7FA7"/>
    <w:rsid w:val="00211DFC"/>
    <w:rsid w:val="002242C3"/>
    <w:rsid w:val="00273BD1"/>
    <w:rsid w:val="002901B6"/>
    <w:rsid w:val="002916CE"/>
    <w:rsid w:val="002B5598"/>
    <w:rsid w:val="002D28AF"/>
    <w:rsid w:val="002E0236"/>
    <w:rsid w:val="002F016F"/>
    <w:rsid w:val="002F6C40"/>
    <w:rsid w:val="0030115D"/>
    <w:rsid w:val="00304EC3"/>
    <w:rsid w:val="00354FCE"/>
    <w:rsid w:val="00371584"/>
    <w:rsid w:val="00373B9F"/>
    <w:rsid w:val="003922F1"/>
    <w:rsid w:val="003A05C6"/>
    <w:rsid w:val="003B1212"/>
    <w:rsid w:val="003B1F4F"/>
    <w:rsid w:val="003D6CC0"/>
    <w:rsid w:val="003E3AD0"/>
    <w:rsid w:val="003E555C"/>
    <w:rsid w:val="003F349C"/>
    <w:rsid w:val="003F6D6E"/>
    <w:rsid w:val="004027CE"/>
    <w:rsid w:val="00422023"/>
    <w:rsid w:val="004224E3"/>
    <w:rsid w:val="004375A8"/>
    <w:rsid w:val="00443A1D"/>
    <w:rsid w:val="00444C7D"/>
    <w:rsid w:val="00456803"/>
    <w:rsid w:val="004579A9"/>
    <w:rsid w:val="004609C9"/>
    <w:rsid w:val="00461040"/>
    <w:rsid w:val="00466F93"/>
    <w:rsid w:val="00470F9C"/>
    <w:rsid w:val="004862E4"/>
    <w:rsid w:val="004979C4"/>
    <w:rsid w:val="004B1F32"/>
    <w:rsid w:val="004B4BF7"/>
    <w:rsid w:val="004B5238"/>
    <w:rsid w:val="004C21B4"/>
    <w:rsid w:val="004C7966"/>
    <w:rsid w:val="004D4AE2"/>
    <w:rsid w:val="004E4597"/>
    <w:rsid w:val="005015E1"/>
    <w:rsid w:val="005027DA"/>
    <w:rsid w:val="00525609"/>
    <w:rsid w:val="00533BC9"/>
    <w:rsid w:val="005370CE"/>
    <w:rsid w:val="00545E21"/>
    <w:rsid w:val="0054613C"/>
    <w:rsid w:val="005536A0"/>
    <w:rsid w:val="005567F2"/>
    <w:rsid w:val="00557BED"/>
    <w:rsid w:val="0056116D"/>
    <w:rsid w:val="005657A6"/>
    <w:rsid w:val="00595C57"/>
    <w:rsid w:val="005A26BC"/>
    <w:rsid w:val="005A5A45"/>
    <w:rsid w:val="005A7A15"/>
    <w:rsid w:val="005B0AF2"/>
    <w:rsid w:val="005B2A7A"/>
    <w:rsid w:val="005D3395"/>
    <w:rsid w:val="005D4E7C"/>
    <w:rsid w:val="005E42DF"/>
    <w:rsid w:val="005E6A80"/>
    <w:rsid w:val="00600814"/>
    <w:rsid w:val="00605BDD"/>
    <w:rsid w:val="0061579F"/>
    <w:rsid w:val="00623D0F"/>
    <w:rsid w:val="00642582"/>
    <w:rsid w:val="00650AE8"/>
    <w:rsid w:val="00667B1F"/>
    <w:rsid w:val="00677BB4"/>
    <w:rsid w:val="00677E18"/>
    <w:rsid w:val="006A121E"/>
    <w:rsid w:val="006A6F69"/>
    <w:rsid w:val="006B3799"/>
    <w:rsid w:val="006C2D91"/>
    <w:rsid w:val="006D6A28"/>
    <w:rsid w:val="006E3FCA"/>
    <w:rsid w:val="00721E31"/>
    <w:rsid w:val="007273FB"/>
    <w:rsid w:val="007302A8"/>
    <w:rsid w:val="007428C1"/>
    <w:rsid w:val="00743EDD"/>
    <w:rsid w:val="0074517A"/>
    <w:rsid w:val="00750946"/>
    <w:rsid w:val="00750F40"/>
    <w:rsid w:val="00763127"/>
    <w:rsid w:val="00781E25"/>
    <w:rsid w:val="00783CE5"/>
    <w:rsid w:val="00797A27"/>
    <w:rsid w:val="007A2133"/>
    <w:rsid w:val="007A605F"/>
    <w:rsid w:val="007B6761"/>
    <w:rsid w:val="007E2EDC"/>
    <w:rsid w:val="007E4819"/>
    <w:rsid w:val="008147C0"/>
    <w:rsid w:val="00815F4F"/>
    <w:rsid w:val="0082051B"/>
    <w:rsid w:val="008216FF"/>
    <w:rsid w:val="008341B7"/>
    <w:rsid w:val="0086743C"/>
    <w:rsid w:val="008723F6"/>
    <w:rsid w:val="008A283B"/>
    <w:rsid w:val="008C73DB"/>
    <w:rsid w:val="008C7CFB"/>
    <w:rsid w:val="008D6B57"/>
    <w:rsid w:val="008E08BC"/>
    <w:rsid w:val="008E5B8D"/>
    <w:rsid w:val="008F21B5"/>
    <w:rsid w:val="008F4955"/>
    <w:rsid w:val="008F6BC6"/>
    <w:rsid w:val="009122F6"/>
    <w:rsid w:val="00913146"/>
    <w:rsid w:val="009169B3"/>
    <w:rsid w:val="00920BB0"/>
    <w:rsid w:val="009316B2"/>
    <w:rsid w:val="00953E6E"/>
    <w:rsid w:val="00957939"/>
    <w:rsid w:val="0097576E"/>
    <w:rsid w:val="00991AD8"/>
    <w:rsid w:val="009954FF"/>
    <w:rsid w:val="009A3C95"/>
    <w:rsid w:val="009A49D5"/>
    <w:rsid w:val="009D42DB"/>
    <w:rsid w:val="009D7B11"/>
    <w:rsid w:val="009F19FC"/>
    <w:rsid w:val="00A04169"/>
    <w:rsid w:val="00A11EE0"/>
    <w:rsid w:val="00A23D0A"/>
    <w:rsid w:val="00A353F6"/>
    <w:rsid w:val="00A36B46"/>
    <w:rsid w:val="00A618CE"/>
    <w:rsid w:val="00A771D8"/>
    <w:rsid w:val="00A905BF"/>
    <w:rsid w:val="00AA5332"/>
    <w:rsid w:val="00AB4918"/>
    <w:rsid w:val="00AC53F2"/>
    <w:rsid w:val="00AD57AF"/>
    <w:rsid w:val="00AD6D24"/>
    <w:rsid w:val="00AF16AC"/>
    <w:rsid w:val="00AF57CB"/>
    <w:rsid w:val="00AF7E56"/>
    <w:rsid w:val="00B0392B"/>
    <w:rsid w:val="00B11A0C"/>
    <w:rsid w:val="00B2658C"/>
    <w:rsid w:val="00B30CEB"/>
    <w:rsid w:val="00B40C50"/>
    <w:rsid w:val="00B5766C"/>
    <w:rsid w:val="00B649EF"/>
    <w:rsid w:val="00B65B9D"/>
    <w:rsid w:val="00B702D8"/>
    <w:rsid w:val="00B7366E"/>
    <w:rsid w:val="00B90154"/>
    <w:rsid w:val="00BA6A17"/>
    <w:rsid w:val="00BA7C71"/>
    <w:rsid w:val="00BB00EF"/>
    <w:rsid w:val="00BB5FE0"/>
    <w:rsid w:val="00BD25F7"/>
    <w:rsid w:val="00BE562A"/>
    <w:rsid w:val="00BF1761"/>
    <w:rsid w:val="00BF2222"/>
    <w:rsid w:val="00C01612"/>
    <w:rsid w:val="00C12FE9"/>
    <w:rsid w:val="00C21C48"/>
    <w:rsid w:val="00C46DB0"/>
    <w:rsid w:val="00C578F0"/>
    <w:rsid w:val="00C83011"/>
    <w:rsid w:val="00C84A34"/>
    <w:rsid w:val="00C85985"/>
    <w:rsid w:val="00CB17D7"/>
    <w:rsid w:val="00CB6C29"/>
    <w:rsid w:val="00CD433B"/>
    <w:rsid w:val="00CD6BE8"/>
    <w:rsid w:val="00CE3394"/>
    <w:rsid w:val="00D03387"/>
    <w:rsid w:val="00D05616"/>
    <w:rsid w:val="00D210BF"/>
    <w:rsid w:val="00D22989"/>
    <w:rsid w:val="00D4140F"/>
    <w:rsid w:val="00D47CB8"/>
    <w:rsid w:val="00D47E91"/>
    <w:rsid w:val="00D57809"/>
    <w:rsid w:val="00D63CBD"/>
    <w:rsid w:val="00D70949"/>
    <w:rsid w:val="00D75A7E"/>
    <w:rsid w:val="00D75E0D"/>
    <w:rsid w:val="00D93371"/>
    <w:rsid w:val="00DA03C4"/>
    <w:rsid w:val="00E2408B"/>
    <w:rsid w:val="00E56862"/>
    <w:rsid w:val="00E61D1E"/>
    <w:rsid w:val="00E64AD8"/>
    <w:rsid w:val="00E67CE0"/>
    <w:rsid w:val="00E7100F"/>
    <w:rsid w:val="00E72A1C"/>
    <w:rsid w:val="00E80753"/>
    <w:rsid w:val="00E83906"/>
    <w:rsid w:val="00E84FDA"/>
    <w:rsid w:val="00E87AD1"/>
    <w:rsid w:val="00EB0661"/>
    <w:rsid w:val="00EB2D3C"/>
    <w:rsid w:val="00EB435A"/>
    <w:rsid w:val="00ED69B1"/>
    <w:rsid w:val="00F0643A"/>
    <w:rsid w:val="00F12F83"/>
    <w:rsid w:val="00F34332"/>
    <w:rsid w:val="00F553D0"/>
    <w:rsid w:val="00F74CC1"/>
    <w:rsid w:val="00F952C8"/>
    <w:rsid w:val="00FA3D42"/>
    <w:rsid w:val="00FB52F5"/>
    <w:rsid w:val="00FF709C"/>
    <w:rsid w:val="01423E53"/>
    <w:rsid w:val="015D7DFD"/>
    <w:rsid w:val="017E76D4"/>
    <w:rsid w:val="03C11F96"/>
    <w:rsid w:val="04567CF4"/>
    <w:rsid w:val="049251C3"/>
    <w:rsid w:val="04CF02A7"/>
    <w:rsid w:val="04EF5DCF"/>
    <w:rsid w:val="078550DC"/>
    <w:rsid w:val="086B3224"/>
    <w:rsid w:val="08B42FCA"/>
    <w:rsid w:val="099E44F7"/>
    <w:rsid w:val="09DC0C8E"/>
    <w:rsid w:val="0A3842C1"/>
    <w:rsid w:val="0AAD0166"/>
    <w:rsid w:val="0AF85DAA"/>
    <w:rsid w:val="0B3F7138"/>
    <w:rsid w:val="0B71686F"/>
    <w:rsid w:val="0D3753CD"/>
    <w:rsid w:val="0D411050"/>
    <w:rsid w:val="0D5D277B"/>
    <w:rsid w:val="0DAE4A6B"/>
    <w:rsid w:val="0DD011F0"/>
    <w:rsid w:val="0EDD1E4B"/>
    <w:rsid w:val="0EDD528C"/>
    <w:rsid w:val="0F201B87"/>
    <w:rsid w:val="0F561BE3"/>
    <w:rsid w:val="0FF61E7A"/>
    <w:rsid w:val="0FF76432"/>
    <w:rsid w:val="10B06776"/>
    <w:rsid w:val="10CF4525"/>
    <w:rsid w:val="115221C2"/>
    <w:rsid w:val="117851DD"/>
    <w:rsid w:val="11866520"/>
    <w:rsid w:val="11A7405B"/>
    <w:rsid w:val="129B7B43"/>
    <w:rsid w:val="12D70C28"/>
    <w:rsid w:val="132305A1"/>
    <w:rsid w:val="133779D6"/>
    <w:rsid w:val="14B77287"/>
    <w:rsid w:val="15307EAA"/>
    <w:rsid w:val="15632709"/>
    <w:rsid w:val="156D7453"/>
    <w:rsid w:val="15792B3C"/>
    <w:rsid w:val="15907066"/>
    <w:rsid w:val="163002EE"/>
    <w:rsid w:val="1642225C"/>
    <w:rsid w:val="166C12E5"/>
    <w:rsid w:val="16F413C5"/>
    <w:rsid w:val="18C9151B"/>
    <w:rsid w:val="1957734A"/>
    <w:rsid w:val="196B2629"/>
    <w:rsid w:val="19A71F84"/>
    <w:rsid w:val="1AEF6E14"/>
    <w:rsid w:val="1B13216C"/>
    <w:rsid w:val="1B8011DF"/>
    <w:rsid w:val="1BEE5AEB"/>
    <w:rsid w:val="1C20131A"/>
    <w:rsid w:val="1C5842BD"/>
    <w:rsid w:val="1C600B21"/>
    <w:rsid w:val="1C876C21"/>
    <w:rsid w:val="1CC26C6A"/>
    <w:rsid w:val="1D2A0508"/>
    <w:rsid w:val="1E3741F3"/>
    <w:rsid w:val="1E3E33E7"/>
    <w:rsid w:val="1E466713"/>
    <w:rsid w:val="1EFA670F"/>
    <w:rsid w:val="1F7F2BF4"/>
    <w:rsid w:val="1FBF278C"/>
    <w:rsid w:val="20025E6A"/>
    <w:rsid w:val="20193933"/>
    <w:rsid w:val="20A453BF"/>
    <w:rsid w:val="22C2143C"/>
    <w:rsid w:val="23A23B71"/>
    <w:rsid w:val="24B2466D"/>
    <w:rsid w:val="25203CCD"/>
    <w:rsid w:val="25340A95"/>
    <w:rsid w:val="259B519A"/>
    <w:rsid w:val="25BB645F"/>
    <w:rsid w:val="25BD7D6C"/>
    <w:rsid w:val="26A25ECF"/>
    <w:rsid w:val="26A51766"/>
    <w:rsid w:val="26EA3BF3"/>
    <w:rsid w:val="27DD44F3"/>
    <w:rsid w:val="28C24C29"/>
    <w:rsid w:val="28E3770C"/>
    <w:rsid w:val="28F25164"/>
    <w:rsid w:val="29400F3F"/>
    <w:rsid w:val="29B33657"/>
    <w:rsid w:val="2A357E3A"/>
    <w:rsid w:val="2BA10089"/>
    <w:rsid w:val="2BF244BE"/>
    <w:rsid w:val="2C3361C3"/>
    <w:rsid w:val="2C53658C"/>
    <w:rsid w:val="2CE550C6"/>
    <w:rsid w:val="2CFA2FC9"/>
    <w:rsid w:val="2D4A071F"/>
    <w:rsid w:val="2E430546"/>
    <w:rsid w:val="2EA367EC"/>
    <w:rsid w:val="30734B9F"/>
    <w:rsid w:val="307D1FD3"/>
    <w:rsid w:val="308B15A7"/>
    <w:rsid w:val="316B760C"/>
    <w:rsid w:val="318E4A0B"/>
    <w:rsid w:val="3270299B"/>
    <w:rsid w:val="33A528C2"/>
    <w:rsid w:val="34245FB0"/>
    <w:rsid w:val="34727975"/>
    <w:rsid w:val="34771223"/>
    <w:rsid w:val="34F8703E"/>
    <w:rsid w:val="35E06B2A"/>
    <w:rsid w:val="370878BE"/>
    <w:rsid w:val="39C70AE8"/>
    <w:rsid w:val="39FD4305"/>
    <w:rsid w:val="3A372A97"/>
    <w:rsid w:val="3A8E0752"/>
    <w:rsid w:val="3B60677A"/>
    <w:rsid w:val="3B9C1EA7"/>
    <w:rsid w:val="3C0D0D71"/>
    <w:rsid w:val="3C0E7860"/>
    <w:rsid w:val="3C5D59BF"/>
    <w:rsid w:val="3C6958EB"/>
    <w:rsid w:val="3D1D0DC6"/>
    <w:rsid w:val="3D704FDD"/>
    <w:rsid w:val="3EC86B10"/>
    <w:rsid w:val="3ECA6DBF"/>
    <w:rsid w:val="3FE036CD"/>
    <w:rsid w:val="3FFA492E"/>
    <w:rsid w:val="40203753"/>
    <w:rsid w:val="4028426D"/>
    <w:rsid w:val="40F372A6"/>
    <w:rsid w:val="410D7623"/>
    <w:rsid w:val="41FA2FFE"/>
    <w:rsid w:val="42161F5B"/>
    <w:rsid w:val="435E295A"/>
    <w:rsid w:val="43E366D3"/>
    <w:rsid w:val="43FF51EE"/>
    <w:rsid w:val="44337121"/>
    <w:rsid w:val="443524F0"/>
    <w:rsid w:val="445B4A11"/>
    <w:rsid w:val="44C47A33"/>
    <w:rsid w:val="45AE7FD6"/>
    <w:rsid w:val="464F4F74"/>
    <w:rsid w:val="46986F59"/>
    <w:rsid w:val="46A04C6D"/>
    <w:rsid w:val="46C43755"/>
    <w:rsid w:val="47AD1325"/>
    <w:rsid w:val="48131E02"/>
    <w:rsid w:val="48BB7F0C"/>
    <w:rsid w:val="495877B6"/>
    <w:rsid w:val="496B52ED"/>
    <w:rsid w:val="49BD0006"/>
    <w:rsid w:val="49D06120"/>
    <w:rsid w:val="49EF259D"/>
    <w:rsid w:val="49F4421A"/>
    <w:rsid w:val="4A6F2668"/>
    <w:rsid w:val="4B7432F7"/>
    <w:rsid w:val="4C2F0EAA"/>
    <w:rsid w:val="4C8F780F"/>
    <w:rsid w:val="4C9D00C0"/>
    <w:rsid w:val="4CA611BF"/>
    <w:rsid w:val="4CBB4F45"/>
    <w:rsid w:val="4D096C71"/>
    <w:rsid w:val="4DDE6974"/>
    <w:rsid w:val="4E134097"/>
    <w:rsid w:val="4E982797"/>
    <w:rsid w:val="4F0125CA"/>
    <w:rsid w:val="4F9D23F0"/>
    <w:rsid w:val="50051DBE"/>
    <w:rsid w:val="504D0CA5"/>
    <w:rsid w:val="51BE72D3"/>
    <w:rsid w:val="51D97848"/>
    <w:rsid w:val="51F16466"/>
    <w:rsid w:val="52D25FAE"/>
    <w:rsid w:val="53636240"/>
    <w:rsid w:val="543547EF"/>
    <w:rsid w:val="54642372"/>
    <w:rsid w:val="55107005"/>
    <w:rsid w:val="553C395C"/>
    <w:rsid w:val="55AF00E5"/>
    <w:rsid w:val="569C6A5C"/>
    <w:rsid w:val="571C3BDC"/>
    <w:rsid w:val="57636176"/>
    <w:rsid w:val="58F46A27"/>
    <w:rsid w:val="59670775"/>
    <w:rsid w:val="59A46B78"/>
    <w:rsid w:val="59FE3F48"/>
    <w:rsid w:val="5BB939FB"/>
    <w:rsid w:val="5C39782B"/>
    <w:rsid w:val="5E0F28C8"/>
    <w:rsid w:val="5E235416"/>
    <w:rsid w:val="5EE03431"/>
    <w:rsid w:val="5F1407BE"/>
    <w:rsid w:val="5F6D78C9"/>
    <w:rsid w:val="5FBB4E36"/>
    <w:rsid w:val="60615123"/>
    <w:rsid w:val="60FA2D34"/>
    <w:rsid w:val="60FB6BED"/>
    <w:rsid w:val="61BF394A"/>
    <w:rsid w:val="629C5A0E"/>
    <w:rsid w:val="62D40F8B"/>
    <w:rsid w:val="63A728E8"/>
    <w:rsid w:val="63B4251A"/>
    <w:rsid w:val="643359CD"/>
    <w:rsid w:val="64A60B74"/>
    <w:rsid w:val="64C6694E"/>
    <w:rsid w:val="64CF32A5"/>
    <w:rsid w:val="64CF74DF"/>
    <w:rsid w:val="65123FEB"/>
    <w:rsid w:val="654E70F4"/>
    <w:rsid w:val="65602EF9"/>
    <w:rsid w:val="6571175E"/>
    <w:rsid w:val="66EF4CD2"/>
    <w:rsid w:val="67736906"/>
    <w:rsid w:val="67F9736B"/>
    <w:rsid w:val="67FB3145"/>
    <w:rsid w:val="68060F61"/>
    <w:rsid w:val="68063A8C"/>
    <w:rsid w:val="68682E55"/>
    <w:rsid w:val="686E6C9C"/>
    <w:rsid w:val="691624E5"/>
    <w:rsid w:val="69AE2151"/>
    <w:rsid w:val="69FB4103"/>
    <w:rsid w:val="69FF522C"/>
    <w:rsid w:val="6A5F31CB"/>
    <w:rsid w:val="6A7B332D"/>
    <w:rsid w:val="6A7E0EC2"/>
    <w:rsid w:val="6B301B53"/>
    <w:rsid w:val="6B934308"/>
    <w:rsid w:val="6C37252C"/>
    <w:rsid w:val="6D501FA7"/>
    <w:rsid w:val="6D7A1882"/>
    <w:rsid w:val="70301BE2"/>
    <w:rsid w:val="70E17121"/>
    <w:rsid w:val="719A1DE1"/>
    <w:rsid w:val="71D55F24"/>
    <w:rsid w:val="71DC5E53"/>
    <w:rsid w:val="720C498A"/>
    <w:rsid w:val="723C377C"/>
    <w:rsid w:val="72E26260"/>
    <w:rsid w:val="73982CFF"/>
    <w:rsid w:val="73D412D3"/>
    <w:rsid w:val="74A06B57"/>
    <w:rsid w:val="752D2771"/>
    <w:rsid w:val="7541409D"/>
    <w:rsid w:val="759529AD"/>
    <w:rsid w:val="75D77122"/>
    <w:rsid w:val="76080B37"/>
    <w:rsid w:val="77693787"/>
    <w:rsid w:val="780A5F0F"/>
    <w:rsid w:val="7860333A"/>
    <w:rsid w:val="791E3AC4"/>
    <w:rsid w:val="7927337A"/>
    <w:rsid w:val="792D7D0C"/>
    <w:rsid w:val="795A5FDB"/>
    <w:rsid w:val="7A3C0C7A"/>
    <w:rsid w:val="7A46421A"/>
    <w:rsid w:val="7A543DF9"/>
    <w:rsid w:val="7A9F5DCB"/>
    <w:rsid w:val="7AA35AB1"/>
    <w:rsid w:val="7AD52635"/>
    <w:rsid w:val="7B37735B"/>
    <w:rsid w:val="7B816590"/>
    <w:rsid w:val="7B892BA7"/>
    <w:rsid w:val="7BFA059E"/>
    <w:rsid w:val="7D4B0A7D"/>
    <w:rsid w:val="7DEA469A"/>
    <w:rsid w:val="7E0D7801"/>
    <w:rsid w:val="7E0E5FB8"/>
    <w:rsid w:val="7E8A173E"/>
    <w:rsid w:val="7EB17F6B"/>
    <w:rsid w:val="7F963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autoRedefine/>
    <w:qFormat/>
    <w:uiPriority w:val="0"/>
    <w:pPr>
      <w:keepNext/>
      <w:keepLines/>
      <w:spacing w:before="260" w:after="260" w:line="416" w:lineRule="auto"/>
      <w:outlineLvl w:val="1"/>
    </w:pPr>
    <w:rPr>
      <w:rFonts w:ascii="Arial" w:hAnsi="Arial" w:eastAsia="黑体"/>
      <w:bCs/>
      <w:sz w:val="28"/>
      <w:szCs w:val="28"/>
    </w:rPr>
  </w:style>
  <w:style w:type="paragraph" w:styleId="4">
    <w:name w:val="heading 3"/>
    <w:basedOn w:val="1"/>
    <w:next w:val="1"/>
    <w:autoRedefine/>
    <w:qFormat/>
    <w:uiPriority w:val="0"/>
    <w:pPr>
      <w:keepNext/>
      <w:keepLines/>
      <w:spacing w:before="120" w:after="120"/>
      <w:outlineLvl w:val="2"/>
    </w:pPr>
    <w:rPr>
      <w:rFonts w:ascii="宋体"/>
      <w:b/>
      <w:bCs/>
      <w:color w:val="FF0000"/>
      <w:sz w:val="24"/>
    </w:rPr>
  </w:style>
  <w:style w:type="paragraph" w:styleId="5">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6"/>
    <w:basedOn w:val="1"/>
    <w:next w:val="1"/>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7">
    <w:name w:val="heading 7"/>
    <w:basedOn w:val="1"/>
    <w:next w:val="1"/>
    <w:autoRedefine/>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1"/>
    <w:next w:val="1"/>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9">
    <w:name w:val="heading 9"/>
    <w:basedOn w:val="1"/>
    <w:next w:val="1"/>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33">
    <w:name w:val="Default Paragraph Font"/>
    <w:autoRedefine/>
    <w:semiHidden/>
    <w:unhideWhenUsed/>
    <w:qFormat/>
    <w:uiPriority w:val="1"/>
  </w:style>
  <w:style w:type="table" w:default="1" w:styleId="31">
    <w:name w:val="Normal Table"/>
    <w:autoRedefine/>
    <w:semiHidden/>
    <w:unhideWhenUsed/>
    <w:qFormat/>
    <w:uiPriority w:val="99"/>
    <w:tblPr>
      <w:tblCellMar>
        <w:top w:w="0" w:type="dxa"/>
        <w:left w:w="108" w:type="dxa"/>
        <w:bottom w:w="0" w:type="dxa"/>
        <w:right w:w="108" w:type="dxa"/>
      </w:tblCellMar>
    </w:tblPr>
  </w:style>
  <w:style w:type="paragraph" w:styleId="10">
    <w:name w:val="Normal Indent"/>
    <w:basedOn w:val="1"/>
    <w:autoRedefine/>
    <w:qFormat/>
    <w:uiPriority w:val="0"/>
    <w:pPr>
      <w:ind w:firstLine="420" w:firstLineChars="200"/>
    </w:pPr>
  </w:style>
  <w:style w:type="paragraph" w:styleId="11">
    <w:name w:val="Document Map"/>
    <w:basedOn w:val="1"/>
    <w:autoRedefine/>
    <w:semiHidden/>
    <w:qFormat/>
    <w:uiPriority w:val="0"/>
    <w:pPr>
      <w:shd w:val="clear" w:color="auto" w:fill="000080"/>
    </w:pPr>
  </w:style>
  <w:style w:type="paragraph" w:styleId="12">
    <w:name w:val="annotation text"/>
    <w:basedOn w:val="1"/>
    <w:autoRedefine/>
    <w:qFormat/>
    <w:uiPriority w:val="0"/>
    <w:pPr>
      <w:jc w:val="left"/>
    </w:pPr>
  </w:style>
  <w:style w:type="paragraph" w:styleId="13">
    <w:name w:val="Body Text 3"/>
    <w:basedOn w:val="1"/>
    <w:autoRedefine/>
    <w:qFormat/>
    <w:uiPriority w:val="0"/>
    <w:rPr>
      <w:rFonts w:ascii="宋体"/>
      <w:sz w:val="24"/>
      <w:szCs w:val="20"/>
    </w:rPr>
  </w:style>
  <w:style w:type="paragraph" w:styleId="14">
    <w:name w:val="Body Text"/>
    <w:basedOn w:val="1"/>
    <w:next w:val="1"/>
    <w:link w:val="70"/>
    <w:autoRedefine/>
    <w:qFormat/>
    <w:uiPriority w:val="0"/>
    <w:pPr>
      <w:spacing w:after="120"/>
    </w:pPr>
  </w:style>
  <w:style w:type="paragraph" w:styleId="15">
    <w:name w:val="Body Text Indent"/>
    <w:basedOn w:val="1"/>
    <w:autoRedefine/>
    <w:qFormat/>
    <w:uiPriority w:val="0"/>
    <w:pPr>
      <w:spacing w:after="120"/>
      <w:ind w:left="420" w:leftChars="200"/>
    </w:pPr>
  </w:style>
  <w:style w:type="paragraph" w:styleId="16">
    <w:name w:val="Plain Text"/>
    <w:basedOn w:val="1"/>
    <w:autoRedefine/>
    <w:qFormat/>
    <w:uiPriority w:val="0"/>
    <w:rPr>
      <w:rFonts w:ascii="Courier New" w:hAnsi="Courier New"/>
      <w:szCs w:val="20"/>
    </w:rPr>
  </w:style>
  <w:style w:type="paragraph" w:styleId="17">
    <w:name w:val="Date"/>
    <w:basedOn w:val="1"/>
    <w:next w:val="1"/>
    <w:autoRedefine/>
    <w:qFormat/>
    <w:uiPriority w:val="0"/>
    <w:rPr>
      <w:sz w:val="24"/>
      <w:szCs w:val="20"/>
    </w:rPr>
  </w:style>
  <w:style w:type="paragraph" w:styleId="18">
    <w:name w:val="Body Text Indent 2"/>
    <w:basedOn w:val="1"/>
    <w:autoRedefine/>
    <w:qFormat/>
    <w:uiPriority w:val="0"/>
    <w:pPr>
      <w:spacing w:after="120" w:line="480" w:lineRule="auto"/>
      <w:ind w:left="420" w:leftChars="200"/>
    </w:pPr>
  </w:style>
  <w:style w:type="paragraph" w:styleId="19">
    <w:name w:val="Balloon Text"/>
    <w:basedOn w:val="1"/>
    <w:autoRedefine/>
    <w:semiHidden/>
    <w:qFormat/>
    <w:uiPriority w:val="0"/>
    <w:rPr>
      <w:sz w:val="18"/>
      <w:szCs w:val="18"/>
    </w:rPr>
  </w:style>
  <w:style w:type="paragraph" w:styleId="20">
    <w:name w:val="footer"/>
    <w:basedOn w:val="1"/>
    <w:autoRedefine/>
    <w:qFormat/>
    <w:uiPriority w:val="0"/>
    <w:pPr>
      <w:tabs>
        <w:tab w:val="center" w:pos="4153"/>
        <w:tab w:val="right" w:pos="8306"/>
      </w:tabs>
      <w:snapToGrid w:val="0"/>
      <w:jc w:val="left"/>
    </w:pPr>
    <w:rPr>
      <w:sz w:val="18"/>
      <w:szCs w:val="18"/>
    </w:rPr>
  </w:style>
  <w:style w:type="paragraph" w:styleId="2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semiHidden/>
    <w:qFormat/>
    <w:uiPriority w:val="0"/>
    <w:pPr>
      <w:tabs>
        <w:tab w:val="right" w:leader="dot" w:pos="9060"/>
      </w:tabs>
      <w:spacing w:before="120" w:after="120"/>
      <w:jc w:val="center"/>
    </w:pPr>
    <w:rPr>
      <w:b/>
      <w:bCs/>
      <w:caps/>
      <w:sz w:val="24"/>
    </w:rPr>
  </w:style>
  <w:style w:type="paragraph" w:styleId="23">
    <w:name w:val="Body Text Indent 3"/>
    <w:basedOn w:val="1"/>
    <w:autoRedefine/>
    <w:qFormat/>
    <w:uiPriority w:val="0"/>
    <w:pPr>
      <w:spacing w:after="120"/>
      <w:ind w:left="420" w:leftChars="200"/>
    </w:pPr>
    <w:rPr>
      <w:sz w:val="16"/>
      <w:szCs w:val="16"/>
    </w:rPr>
  </w:style>
  <w:style w:type="paragraph" w:styleId="24">
    <w:name w:val="toc 2"/>
    <w:basedOn w:val="1"/>
    <w:next w:val="1"/>
    <w:autoRedefine/>
    <w:semiHidden/>
    <w:qFormat/>
    <w:uiPriority w:val="0"/>
    <w:pPr>
      <w:ind w:left="210"/>
      <w:jc w:val="left"/>
    </w:pPr>
    <w:rPr>
      <w:smallCaps/>
      <w:sz w:val="20"/>
      <w:szCs w:val="20"/>
    </w:rPr>
  </w:style>
  <w:style w:type="paragraph" w:styleId="25">
    <w:name w:val="Body Text 2"/>
    <w:basedOn w:val="1"/>
    <w:autoRedefine/>
    <w:qFormat/>
    <w:uiPriority w:val="0"/>
    <w:pPr>
      <w:spacing w:after="120" w:line="480" w:lineRule="auto"/>
    </w:pPr>
  </w:style>
  <w:style w:type="paragraph" w:styleId="2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27">
    <w:name w:val="index 1"/>
    <w:basedOn w:val="1"/>
    <w:next w:val="1"/>
    <w:autoRedefine/>
    <w:semiHidden/>
    <w:qFormat/>
    <w:uiPriority w:val="0"/>
    <w:pPr>
      <w:spacing w:line="220" w:lineRule="exact"/>
      <w:jc w:val="center"/>
    </w:pPr>
    <w:rPr>
      <w:rFonts w:ascii="仿宋_GB2312" w:eastAsia="仿宋_GB2312"/>
      <w:szCs w:val="21"/>
    </w:rPr>
  </w:style>
  <w:style w:type="paragraph" w:styleId="28">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29">
    <w:name w:val="Body Text First Indent"/>
    <w:basedOn w:val="14"/>
    <w:qFormat/>
    <w:uiPriority w:val="0"/>
    <w:pPr>
      <w:spacing w:after="120"/>
      <w:ind w:firstLine="420" w:firstLineChars="100"/>
    </w:pPr>
    <w:rPr>
      <w:sz w:val="18"/>
      <w:szCs w:val="18"/>
    </w:rPr>
  </w:style>
  <w:style w:type="paragraph" w:styleId="30">
    <w:name w:val="Body Text First Indent 2"/>
    <w:basedOn w:val="15"/>
    <w:autoRedefine/>
    <w:semiHidden/>
    <w:qFormat/>
    <w:uiPriority w:val="0"/>
    <w:pPr>
      <w:adjustRightInd w:val="0"/>
      <w:snapToGrid w:val="0"/>
      <w:spacing w:after="120" w:line="460" w:lineRule="exact"/>
      <w:ind w:left="420" w:firstLine="420"/>
      <w:jc w:val="left"/>
    </w:pPr>
    <w:rPr>
      <w:snapToGrid w:val="0"/>
      <w:kern w:val="0"/>
      <w:sz w:val="24"/>
    </w:rPr>
  </w:style>
  <w:style w:type="table" w:styleId="32">
    <w:name w:val="Table Grid"/>
    <w:basedOn w:val="31"/>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Strong"/>
    <w:basedOn w:val="33"/>
    <w:autoRedefine/>
    <w:qFormat/>
    <w:uiPriority w:val="0"/>
    <w:rPr>
      <w:b/>
    </w:rPr>
  </w:style>
  <w:style w:type="character" w:styleId="35">
    <w:name w:val="page number"/>
    <w:basedOn w:val="33"/>
    <w:autoRedefine/>
    <w:qFormat/>
    <w:uiPriority w:val="0"/>
    <w:rPr>
      <w:rFonts w:ascii="Arial" w:hAnsi="Arial" w:eastAsia="黑体"/>
      <w:kern w:val="2"/>
      <w:sz w:val="21"/>
      <w:szCs w:val="21"/>
      <w:lang w:val="en-US" w:eastAsia="zh-CN" w:bidi="ar-SA"/>
    </w:rPr>
  </w:style>
  <w:style w:type="character" w:styleId="36">
    <w:name w:val="FollowedHyperlink"/>
    <w:basedOn w:val="33"/>
    <w:autoRedefine/>
    <w:qFormat/>
    <w:uiPriority w:val="0"/>
    <w:rPr>
      <w:rFonts w:ascii="Arial" w:hAnsi="Arial" w:eastAsia="黑体"/>
      <w:color w:val="800080"/>
      <w:kern w:val="2"/>
      <w:sz w:val="21"/>
      <w:szCs w:val="21"/>
      <w:u w:val="single"/>
      <w:lang w:val="en-US" w:eastAsia="zh-CN" w:bidi="ar-SA"/>
    </w:rPr>
  </w:style>
  <w:style w:type="character" w:styleId="37">
    <w:name w:val="Hyperlink"/>
    <w:basedOn w:val="33"/>
    <w:autoRedefine/>
    <w:qFormat/>
    <w:uiPriority w:val="0"/>
    <w:rPr>
      <w:rFonts w:ascii="Arial" w:hAnsi="Arial" w:eastAsia="黑体"/>
      <w:color w:val="0000FF"/>
      <w:kern w:val="2"/>
      <w:sz w:val="21"/>
      <w:szCs w:val="21"/>
      <w:u w:val="single"/>
      <w:lang w:val="en-US" w:eastAsia="zh-CN" w:bidi="ar-SA"/>
    </w:rPr>
  </w:style>
  <w:style w:type="paragraph" w:customStyle="1" w:styleId="38">
    <w:name w:val="章标题"/>
    <w:next w:val="1"/>
    <w:autoRedefine/>
    <w:qFormat/>
    <w:uiPriority w:val="0"/>
    <w:pPr>
      <w:tabs>
        <w:tab w:val="left" w:pos="840"/>
      </w:tabs>
      <w:spacing w:beforeLines="50" w:afterLines="50"/>
      <w:jc w:val="both"/>
      <w:outlineLvl w:val="1"/>
    </w:pPr>
    <w:rPr>
      <w:rFonts w:ascii="黑体" w:hAnsi="Times New Roman" w:eastAsia="黑体" w:cs="Times New Roman"/>
      <w:sz w:val="21"/>
      <w:szCs w:val="22"/>
      <w:lang w:val="en-US" w:eastAsia="zh-CN" w:bidi="ar-SA"/>
    </w:rPr>
  </w:style>
  <w:style w:type="character" w:customStyle="1" w:styleId="39">
    <w:name w:val="标题 1 Char"/>
    <w:basedOn w:val="33"/>
    <w:link w:val="2"/>
    <w:autoRedefine/>
    <w:qFormat/>
    <w:uiPriority w:val="0"/>
    <w:rPr>
      <w:rFonts w:eastAsia="宋体"/>
      <w:b/>
      <w:bCs/>
      <w:kern w:val="44"/>
      <w:sz w:val="44"/>
      <w:szCs w:val="44"/>
      <w:lang w:val="en-US" w:eastAsia="zh-CN" w:bidi="ar-SA"/>
    </w:rPr>
  </w:style>
  <w:style w:type="character" w:customStyle="1" w:styleId="40">
    <w:name w:val="标题 2 Char"/>
    <w:basedOn w:val="33"/>
    <w:link w:val="3"/>
    <w:autoRedefine/>
    <w:qFormat/>
    <w:uiPriority w:val="0"/>
    <w:rPr>
      <w:rFonts w:ascii="Arial" w:hAnsi="Arial" w:eastAsia="黑体"/>
      <w:bCs/>
      <w:kern w:val="2"/>
      <w:sz w:val="28"/>
      <w:szCs w:val="28"/>
    </w:rPr>
  </w:style>
  <w:style w:type="paragraph" w:customStyle="1" w:styleId="41">
    <w:name w:val="标题2"/>
    <w:basedOn w:val="3"/>
    <w:next w:val="1"/>
    <w:autoRedefine/>
    <w:qFormat/>
    <w:uiPriority w:val="0"/>
    <w:pPr>
      <w:snapToGrid w:val="0"/>
      <w:spacing w:before="120" w:after="120" w:line="240" w:lineRule="auto"/>
      <w:jc w:val="left"/>
    </w:pPr>
    <w:rPr>
      <w:b/>
      <w:bCs w:val="0"/>
      <w:sz w:val="21"/>
      <w:szCs w:val="21"/>
    </w:rPr>
  </w:style>
  <w:style w:type="paragraph" w:customStyle="1" w:styleId="42">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Cs w:val="20"/>
    </w:rPr>
  </w:style>
  <w:style w:type="paragraph" w:customStyle="1" w:styleId="43">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bCs w:val="0"/>
      <w:szCs w:val="20"/>
    </w:rPr>
  </w:style>
  <w:style w:type="paragraph" w:customStyle="1" w:styleId="44">
    <w:name w:val="样式 标题 1 + 黑体 三号 非加粗 居中 段前: 6 磅 段后: 6 磅 行距: 固定值 20 磅"/>
    <w:basedOn w:val="2"/>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45">
    <w:name w:val="1"/>
    <w:basedOn w:val="1"/>
    <w:autoRedefine/>
    <w:qFormat/>
    <w:uiPriority w:val="0"/>
  </w:style>
  <w:style w:type="character" w:customStyle="1" w:styleId="46">
    <w:name w:val="font161"/>
    <w:basedOn w:val="33"/>
    <w:autoRedefine/>
    <w:qFormat/>
    <w:uiPriority w:val="0"/>
    <w:rPr>
      <w:rFonts w:ascii="Arial" w:hAnsi="Arial" w:eastAsia="黑体"/>
      <w:b/>
      <w:bCs/>
      <w:kern w:val="2"/>
      <w:sz w:val="32"/>
      <w:szCs w:val="32"/>
      <w:lang w:val="en-US" w:eastAsia="zh-CN" w:bidi="ar-SA"/>
    </w:rPr>
  </w:style>
  <w:style w:type="paragraph" w:customStyle="1" w:styleId="47">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48">
    <w:name w:val="表格"/>
    <w:basedOn w:val="1"/>
    <w:autoRedefine/>
    <w:qFormat/>
    <w:uiPriority w:val="0"/>
    <w:pPr>
      <w:jc w:val="center"/>
      <w:textAlignment w:val="center"/>
    </w:pPr>
    <w:rPr>
      <w:rFonts w:ascii="华文细黑" w:hAnsi="华文细黑"/>
      <w:kern w:val="0"/>
      <w:szCs w:val="20"/>
    </w:rPr>
  </w:style>
  <w:style w:type="paragraph" w:customStyle="1" w:styleId="49">
    <w:name w:val="表格文字"/>
    <w:basedOn w:val="1"/>
    <w:autoRedefine/>
    <w:qFormat/>
    <w:uiPriority w:val="0"/>
    <w:pPr>
      <w:adjustRightInd w:val="0"/>
      <w:spacing w:line="420" w:lineRule="atLeast"/>
      <w:jc w:val="left"/>
      <w:textAlignment w:val="baseline"/>
    </w:pPr>
    <w:rPr>
      <w:kern w:val="0"/>
      <w:szCs w:val="20"/>
    </w:rPr>
  </w:style>
  <w:style w:type="paragraph" w:customStyle="1" w:styleId="50">
    <w:name w:val="xl47"/>
    <w:basedOn w:val="1"/>
    <w:autoRedefine/>
    <w:qFormat/>
    <w:uiPriority w:val="0"/>
    <w:pPr>
      <w:widowControl/>
      <w:spacing w:before="100" w:beforeAutospacing="1" w:after="100" w:afterAutospacing="1"/>
      <w:jc w:val="center"/>
    </w:pPr>
    <w:rPr>
      <w:rFonts w:ascii="宋体" w:hAnsi="宋体"/>
      <w:kern w:val="0"/>
      <w:sz w:val="28"/>
      <w:szCs w:val="28"/>
    </w:rPr>
  </w:style>
  <w:style w:type="paragraph" w:customStyle="1" w:styleId="51">
    <w:name w:val="font5"/>
    <w:basedOn w:val="1"/>
    <w:link w:val="52"/>
    <w:autoRedefine/>
    <w:qFormat/>
    <w:uiPriority w:val="0"/>
    <w:pPr>
      <w:widowControl/>
      <w:spacing w:before="100" w:beforeAutospacing="1" w:after="100" w:afterAutospacing="1"/>
      <w:jc w:val="left"/>
    </w:pPr>
    <w:rPr>
      <w:rFonts w:ascii="宋体" w:hAnsi="宋体"/>
      <w:kern w:val="0"/>
      <w:sz w:val="24"/>
    </w:rPr>
  </w:style>
  <w:style w:type="character" w:customStyle="1" w:styleId="52">
    <w:name w:val="font5 Char"/>
    <w:basedOn w:val="33"/>
    <w:link w:val="51"/>
    <w:autoRedefine/>
    <w:qFormat/>
    <w:uiPriority w:val="0"/>
    <w:rPr>
      <w:rFonts w:ascii="宋体" w:hAnsi="宋体" w:eastAsia="宋体"/>
      <w:sz w:val="24"/>
      <w:szCs w:val="24"/>
      <w:lang w:val="en-US" w:eastAsia="zh-CN" w:bidi="ar-SA"/>
    </w:rPr>
  </w:style>
  <w:style w:type="paragraph" w:customStyle="1" w:styleId="53">
    <w:name w:val="font7"/>
    <w:basedOn w:val="1"/>
    <w:autoRedefine/>
    <w:qFormat/>
    <w:uiPriority w:val="0"/>
    <w:pPr>
      <w:widowControl/>
      <w:spacing w:before="100" w:beforeAutospacing="1" w:after="100" w:afterAutospacing="1"/>
      <w:jc w:val="left"/>
    </w:pPr>
    <w:rPr>
      <w:rFonts w:hint="eastAsia" w:ascii="宋体" w:hAnsi="宋体"/>
      <w:kern w:val="0"/>
      <w:sz w:val="28"/>
      <w:szCs w:val="28"/>
    </w:rPr>
  </w:style>
  <w:style w:type="paragraph" w:customStyle="1" w:styleId="54">
    <w:name w:val="xl31"/>
    <w:basedOn w:val="1"/>
    <w:autoRedefine/>
    <w:qFormat/>
    <w:uiPriority w:val="0"/>
    <w:pPr>
      <w:widowControl/>
      <w:spacing w:before="100" w:beforeAutospacing="1" w:after="100" w:afterAutospacing="1"/>
      <w:jc w:val="center"/>
    </w:pPr>
    <w:rPr>
      <w:rFonts w:ascii="宋体" w:hAnsi="宋体"/>
      <w:kern w:val="0"/>
      <w:sz w:val="24"/>
    </w:rPr>
  </w:style>
  <w:style w:type="paragraph" w:customStyle="1" w:styleId="55">
    <w:name w:val="表格2"/>
    <w:basedOn w:val="1"/>
    <w:autoRedefine/>
    <w:qFormat/>
    <w:uiPriority w:val="0"/>
    <w:pPr>
      <w:adjustRightInd w:val="0"/>
      <w:spacing w:before="60" w:after="60"/>
      <w:jc w:val="center"/>
    </w:pPr>
    <w:rPr>
      <w:rFonts w:ascii="宋体"/>
      <w:color w:val="000000"/>
      <w:kern w:val="0"/>
      <w:sz w:val="24"/>
      <w:szCs w:val="20"/>
    </w:rPr>
  </w:style>
  <w:style w:type="paragraph" w:customStyle="1" w:styleId="56">
    <w:name w:val="xl27"/>
    <w:basedOn w:val="1"/>
    <w:autoRedefine/>
    <w:qFormat/>
    <w:uiPriority w:val="0"/>
    <w:pPr>
      <w:widowControl/>
      <w:pBdr>
        <w:bottom w:val="single" w:color="auto" w:sz="4" w:space="0"/>
        <w:right w:val="single" w:color="auto" w:sz="4" w:space="0"/>
      </w:pBdr>
      <w:spacing w:before="100" w:beforeAutospacing="1" w:after="100" w:afterAutospacing="1"/>
      <w:jc w:val="center"/>
    </w:pPr>
    <w:rPr>
      <w:kern w:val="0"/>
      <w:sz w:val="24"/>
    </w:rPr>
  </w:style>
  <w:style w:type="paragraph" w:customStyle="1" w:styleId="57">
    <w:name w:val="Char"/>
    <w:basedOn w:val="1"/>
    <w:autoRedefine/>
    <w:qFormat/>
    <w:uiPriority w:val="0"/>
    <w:pPr>
      <w:snapToGrid w:val="0"/>
      <w:spacing w:line="360" w:lineRule="auto"/>
      <w:ind w:firstLine="200" w:firstLineChars="200"/>
    </w:pPr>
    <w:rPr>
      <w:rFonts w:ascii="Arial" w:hAnsi="Arial" w:eastAsia="黑体"/>
      <w:szCs w:val="21"/>
    </w:rPr>
  </w:style>
  <w:style w:type="paragraph" w:customStyle="1" w:styleId="58">
    <w:name w:val="默认段落字体 Para Char Char Char Char Char Char Char"/>
    <w:basedOn w:val="1"/>
    <w:autoRedefine/>
    <w:qFormat/>
    <w:uiPriority w:val="0"/>
    <w:pPr>
      <w:adjustRightInd w:val="0"/>
      <w:spacing w:line="360" w:lineRule="auto"/>
      <w:ind w:left="200" w:hanging="200" w:hangingChars="200"/>
    </w:pPr>
    <w:rPr>
      <w:kern w:val="0"/>
      <w:sz w:val="24"/>
      <w:szCs w:val="20"/>
    </w:rPr>
  </w:style>
  <w:style w:type="paragraph" w:customStyle="1" w:styleId="59">
    <w:name w:val="列出段落1"/>
    <w:basedOn w:val="1"/>
    <w:autoRedefine/>
    <w:qFormat/>
    <w:uiPriority w:val="0"/>
    <w:pPr>
      <w:ind w:firstLine="420" w:firstLineChars="200"/>
    </w:pPr>
    <w:rPr>
      <w:rFonts w:ascii="Calibri" w:hAnsi="Calibri"/>
      <w:szCs w:val="22"/>
    </w:rPr>
  </w:style>
  <w:style w:type="paragraph" w:styleId="60">
    <w:name w:val="List Paragraph"/>
    <w:basedOn w:val="1"/>
    <w:autoRedefine/>
    <w:qFormat/>
    <w:uiPriority w:val="0"/>
    <w:pPr>
      <w:ind w:firstLine="420" w:firstLineChars="200"/>
    </w:pPr>
    <w:rPr>
      <w:rFonts w:ascii="Calibri" w:hAnsi="Calibri"/>
      <w:szCs w:val="22"/>
    </w:rPr>
  </w:style>
  <w:style w:type="paragraph" w:customStyle="1" w:styleId="61">
    <w:name w:val="WPSOffice手动目录 1"/>
    <w:autoRedefine/>
    <w:qFormat/>
    <w:uiPriority w:val="0"/>
    <w:rPr>
      <w:rFonts w:ascii="Times New Roman" w:hAnsi="Times New Roman" w:eastAsia="宋体" w:cs="Times New Roman"/>
      <w:lang w:val="en-US" w:eastAsia="zh-CN" w:bidi="ar-SA"/>
    </w:rPr>
  </w:style>
  <w:style w:type="paragraph" w:customStyle="1" w:styleId="62">
    <w:name w:val="WPSOffice手动目录 2"/>
    <w:autoRedefine/>
    <w:qFormat/>
    <w:uiPriority w:val="0"/>
    <w:pPr>
      <w:ind w:left="200" w:leftChars="200"/>
    </w:pPr>
    <w:rPr>
      <w:rFonts w:ascii="Times New Roman" w:hAnsi="Times New Roman" w:eastAsia="宋体" w:cs="Times New Roman"/>
      <w:lang w:val="en-US" w:eastAsia="zh-CN" w:bidi="ar-SA"/>
    </w:rPr>
  </w:style>
  <w:style w:type="character" w:customStyle="1" w:styleId="63">
    <w:name w:val="font01"/>
    <w:basedOn w:val="33"/>
    <w:autoRedefine/>
    <w:qFormat/>
    <w:uiPriority w:val="0"/>
    <w:rPr>
      <w:rFonts w:hint="eastAsia" w:ascii="宋体" w:hAnsi="宋体" w:eastAsia="宋体" w:cs="宋体"/>
      <w:color w:val="000000"/>
      <w:sz w:val="24"/>
      <w:szCs w:val="24"/>
      <w:u w:val="none"/>
      <w:vertAlign w:val="superscript"/>
    </w:rPr>
  </w:style>
  <w:style w:type="character" w:customStyle="1" w:styleId="64">
    <w:name w:val="font51"/>
    <w:basedOn w:val="33"/>
    <w:autoRedefine/>
    <w:qFormat/>
    <w:uiPriority w:val="0"/>
    <w:rPr>
      <w:rFonts w:hint="eastAsia" w:ascii="宋体" w:hAnsi="宋体" w:eastAsia="宋体" w:cs="宋体"/>
      <w:color w:val="000000"/>
      <w:sz w:val="24"/>
      <w:szCs w:val="24"/>
      <w:u w:val="none"/>
    </w:rPr>
  </w:style>
  <w:style w:type="character" w:customStyle="1" w:styleId="65">
    <w:name w:val="font41"/>
    <w:basedOn w:val="33"/>
    <w:autoRedefine/>
    <w:qFormat/>
    <w:uiPriority w:val="0"/>
    <w:rPr>
      <w:rFonts w:hint="eastAsia" w:ascii="宋体" w:hAnsi="宋体" w:eastAsia="宋体" w:cs="宋体"/>
      <w:color w:val="000000"/>
      <w:sz w:val="24"/>
      <w:szCs w:val="24"/>
      <w:u w:val="none"/>
    </w:rPr>
  </w:style>
  <w:style w:type="character" w:customStyle="1" w:styleId="66">
    <w:name w:val="ht1"/>
    <w:autoRedefine/>
    <w:qFormat/>
    <w:uiPriority w:val="0"/>
    <w:rPr>
      <w:rFonts w:ascii="黑体" w:eastAsia="黑体"/>
      <w:b/>
      <w:bCs/>
    </w:rPr>
  </w:style>
  <w:style w:type="table" w:customStyle="1" w:styleId="67">
    <w:name w:val="Table Normal"/>
    <w:autoRedefine/>
    <w:semiHidden/>
    <w:unhideWhenUsed/>
    <w:qFormat/>
    <w:uiPriority w:val="0"/>
    <w:tblPr>
      <w:tblCellMar>
        <w:top w:w="0" w:type="dxa"/>
        <w:left w:w="0" w:type="dxa"/>
        <w:bottom w:w="0" w:type="dxa"/>
        <w:right w:w="0" w:type="dxa"/>
      </w:tblCellMar>
    </w:tblPr>
  </w:style>
  <w:style w:type="paragraph" w:customStyle="1" w:styleId="68">
    <w:name w:val="Table Text"/>
    <w:basedOn w:val="1"/>
    <w:autoRedefine/>
    <w:semiHidden/>
    <w:qFormat/>
    <w:uiPriority w:val="0"/>
    <w:rPr>
      <w:rFonts w:ascii="宋体" w:hAnsi="宋体" w:eastAsia="宋体" w:cs="宋体"/>
      <w:sz w:val="24"/>
      <w:szCs w:val="24"/>
      <w:lang w:val="en-US" w:eastAsia="en-US" w:bidi="ar-SA"/>
    </w:rPr>
  </w:style>
  <w:style w:type="paragraph" w:customStyle="1" w:styleId="69">
    <w:name w:val="Table Paragraph"/>
    <w:basedOn w:val="1"/>
    <w:autoRedefine/>
    <w:qFormat/>
    <w:uiPriority w:val="1"/>
    <w:rPr>
      <w:rFonts w:ascii="宋体" w:hAnsi="宋体" w:eastAsia="宋体" w:cs="宋体"/>
      <w:lang w:val="en-US" w:eastAsia="zh-CN" w:bidi="ar-SA"/>
    </w:rPr>
  </w:style>
  <w:style w:type="character" w:customStyle="1" w:styleId="70">
    <w:name w:val="正文文本 Char"/>
    <w:link w:val="14"/>
    <w:autoRedefine/>
    <w:qFormat/>
    <w:uiPriority w:val="0"/>
  </w:style>
  <w:style w:type="paragraph" w:customStyle="1" w:styleId="71">
    <w:name w:val="无间隔1"/>
    <w:qFormat/>
    <w:uiPriority w:val="1"/>
    <w:pPr>
      <w:widowControl w:val="0"/>
      <w:spacing w:line="300" w:lineRule="auto"/>
    </w:pPr>
    <w:rPr>
      <w:rFonts w:ascii="Calibri" w:hAnsi="Calibri" w:eastAsia="宋体" w:cs="黑体"/>
      <w:kern w:val="2"/>
      <w:sz w:val="21"/>
      <w:szCs w:val="22"/>
      <w:lang w:val="en-US" w:eastAsia="zh-CN" w:bidi="ar-SA"/>
    </w:rPr>
  </w:style>
  <w:style w:type="paragraph" w:customStyle="1" w:styleId="7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styleId="7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269FD4-4612-4A3F-BAC8-CC32CCA7B4BF}">
  <ds:schemaRefs/>
</ds:datastoreItem>
</file>

<file path=docProps/app.xml><?xml version="1.0" encoding="utf-8"?>
<Properties xmlns="http://schemas.openxmlformats.org/officeDocument/2006/extended-properties" xmlns:vt="http://schemas.openxmlformats.org/officeDocument/2006/docPropsVTypes">
  <Template>Normal</Template>
  <Company>安徽安兆工程技术咨询服务中心</Company>
  <Pages>5</Pages>
  <Words>6148</Words>
  <Characters>6766</Characters>
  <Lines>375</Lines>
  <Paragraphs>105</Paragraphs>
  <TotalTime>14</TotalTime>
  <ScaleCrop>false</ScaleCrop>
  <LinksUpToDate>false</LinksUpToDate>
  <CharactersWithSpaces>6885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2010-06-24T02:03:00Z</dcterms:created>
  <dc:creator>Administrator</dc:creator>
  <cp:lastModifiedBy>姜洋</cp:lastModifiedBy>
  <cp:lastPrinted>2024-04-10T00:20:00Z</cp:lastPrinted>
  <dcterms:modified xsi:type="dcterms:W3CDTF">2025-07-11T07:23:06Z</dcterms:modified>
  <dc:title>中华人民共和国水利水电工程 </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7C07A9E313164E8DA52656DDBAE211B0_13</vt:lpwstr>
  </property>
  <property fmtid="{D5CDD505-2E9C-101B-9397-08002B2CF9AE}" pid="4" name="KSOTemplateDocerSaveRecord">
    <vt:lpwstr>eyJoZGlkIjoiYTQwODIwMzg0YWQ3MmJmNmIyMGM1NjU0N2EwZWJjOTQiLCJ1c2VySWQiOiI0MzU1NTQ3NzYifQ==</vt:lpwstr>
  </property>
</Properties>
</file>