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版本号：CQDL202512.1B120250712001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2025年南郑区青树镇汪家坝村秸秆加工厂项目-生产加工设备(二次)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CQDL202512.1B1</w:t>
      </w:r>
      <w:r>
        <w:br/>
      </w:r>
      <w:r>
        <w:br/>
      </w:r>
      <w:r>
        <w:br/>
      </w:r>
    </w:p>
    <w:p>
      <w:pPr>
        <w:pStyle w:val="null3"/>
        <w:jc w:val="center"/>
        <w:outlineLvl w:val="2"/>
      </w:pPr>
      <w:r>
        <w:rPr>
          <w:rFonts w:ascii="仿宋_GB2312" w:hAnsi="仿宋_GB2312" w:cs="仿宋_GB2312" w:eastAsia="仿宋_GB2312"/>
          <w:sz w:val="28"/>
          <w:b/>
        </w:rPr>
        <w:t>汉中市南郑区青树镇人民政府</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汉中市南郑区青树镇人民政府</w:t>
      </w:r>
      <w:r>
        <w:rPr>
          <w:rFonts w:ascii="仿宋_GB2312" w:hAnsi="仿宋_GB2312" w:cs="仿宋_GB2312" w:eastAsia="仿宋_GB2312"/>
        </w:rPr>
        <w:t>委托，拟对</w:t>
      </w:r>
      <w:r>
        <w:rPr>
          <w:rFonts w:ascii="仿宋_GB2312" w:hAnsi="仿宋_GB2312" w:cs="仿宋_GB2312" w:eastAsia="仿宋_GB2312"/>
        </w:rPr>
        <w:t>2025年南郑区青树镇汪家坝村秸秆加工厂项目-生产加工设备(二次)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CQDL202512.1B1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2025年南郑区青树镇汪家坝村秸秆加工厂项目-生产加工设备(二次)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本项目实施地点位于青树镇王家坝村，为配合新建的秸秆加工场项目采购生产、加工、运输设备一批，确保加工厂早日投产。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采购包1（2025年南郑区青树镇汪家坝村秸秆加工厂项目-生产加工设备）：属于专门面向中小企业采购。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1、供应商资格要求：供应商具有独立承担民事责任能力的法人、其他组织或自然人，提供有效营业执照/事业单位法人证书/其他组织的有效证明文件/自然人的身份证明/民办非企业单位登记证书</w:t>
      </w:r>
    </w:p>
    <w:p>
      <w:pPr>
        <w:pStyle w:val="null3"/>
      </w:pPr>
      <w:r>
        <w:rPr>
          <w:rFonts w:ascii="仿宋_GB2312" w:hAnsi="仿宋_GB2312" w:cs="仿宋_GB2312" w:eastAsia="仿宋_GB2312"/>
        </w:rPr>
        <w:t>2、法定代表人或委托代理人相关证明：法定代表人参加开标会议的，须出具法定代表人证明书及法定代表人合法有效的身份证扫描件；法定代表人授权他人参加开标会议的，须提供法定代表人授权委托书及被授权代表的身份证扫描件</w:t>
      </w:r>
    </w:p>
    <w:p>
      <w:pPr>
        <w:pStyle w:val="null3"/>
      </w:pPr>
      <w:r>
        <w:rPr>
          <w:rFonts w:ascii="仿宋_GB2312" w:hAnsi="仿宋_GB2312" w:cs="仿宋_GB2312" w:eastAsia="仿宋_GB2312"/>
        </w:rPr>
        <w:t>3、供应商资格要求：供应商需提供加盖公章的《汉中市政府采购供应商资格承诺函》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汉中市南郑区青树镇人民政府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青树镇南湖路18号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汉中市南郑区青树镇人民政府经办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15877538916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汉中市南郑区周家坪西大街14号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0916-5515799/18700645682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开户银行：中国银行股份有限公司南郑支行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汉中市南郑区青树镇人民政府</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汉中市南郑区青树镇人民政府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汉中市南郑区青树镇人民政府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陕西春秋工程项目管理有限公司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联系人：林先生</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地址：汉中市南郑区周家坪办西大街14号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本项目交付地点为青树镇王家坝村，采购内容为秸秆生产、加工设备一批，为新建秸秆加工场提供必要的生产设施。</w:t>
      </w:r>
      <w:r>
        <w:rPr>
          <w:rFonts w:ascii="仿宋_GB2312" w:hAnsi="仿宋_GB2312" w:cs="仿宋_GB2312" w:eastAsia="仿宋_GB2312"/>
          <w:b/>
        </w:rPr>
        <w:t>本项目核心产品为三缸打包机、颗粒饲料压制机、抓木机、秸秆转运车。</w:t>
      </w:r>
      <w:r>
        <w:rPr>
          <w:rFonts w:ascii="仿宋_GB2312" w:hAnsi="仿宋_GB2312" w:cs="仿宋_GB2312" w:eastAsia="仿宋_GB2312"/>
        </w:rPr>
        <w:t>本项目专门面向中小企业采购，货物应由中小企业制造，即货物由中小企业生产且使用该中小企业商号或者注册商标。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秸秆生产加工设备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标的名称：秸秆生产加工设备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分草机  数量：1台</w:t>
            </w:r>
          </w:p>
          <w:p>
            <w:pPr>
              <w:pStyle w:val="null3"/>
            </w:pPr>
            <w:r>
              <w:rPr>
                <w:rFonts w:ascii="仿宋_GB2312" w:hAnsi="仿宋_GB2312" w:cs="仿宋_GB2312" w:eastAsia="仿宋_GB2312"/>
                <w:sz w:val="21"/>
              </w:rPr>
              <w:t>技术参数：电机功率：≥10KW；整机重量：≥2000KG；定刀：7片；外形尺寸：≥4200*2200*2700；配备减速机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2"/>
                <w:color w:val="000000"/>
              </w:rPr>
              <w:t>铡草机</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技术参数：电机功率：</w:t>
            </w:r>
            <w:r>
              <w:rPr>
                <w:rFonts w:ascii="仿宋_GB2312" w:hAnsi="仿宋_GB2312" w:cs="仿宋_GB2312" w:eastAsia="仿宋_GB2312"/>
                <w:sz w:val="22"/>
                <w:color w:val="000000"/>
              </w:rPr>
              <w:t>≥20kw；重量：≥900kg；外形尺寸：≥2600×2300×4000mm；生产效率：≥15t/h;刀片数量：3片，喂入形式：链板自动喂入；出料形式：高喷；输送带形式：加长输送机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2"/>
                <w:color w:val="000000"/>
              </w:rPr>
              <w:t>单向分料仓</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技术参数：容量：</w:t>
            </w:r>
            <w:r>
              <w:rPr>
                <w:rFonts w:ascii="仿宋_GB2312" w:hAnsi="仿宋_GB2312" w:cs="仿宋_GB2312" w:eastAsia="仿宋_GB2312"/>
                <w:sz w:val="22"/>
                <w:color w:val="000000"/>
              </w:rPr>
              <w:t>≥2.5m³；外形尺寸（长X宽X高）mm:2500 X 1500X 2000（含60cm增高腿）；功率:≥4 Kw；出料形式：链条刮板；整机重量：≥500kg，与打包机配套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2"/>
                <w:color w:val="000000"/>
              </w:rPr>
              <w:t>输送机</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2台</w:t>
            </w:r>
          </w:p>
          <w:p>
            <w:pPr>
              <w:pStyle w:val="null3"/>
              <w:jc w:val="both"/>
            </w:pPr>
            <w:r>
              <w:rPr>
                <w:rFonts w:ascii="仿宋_GB2312" w:hAnsi="仿宋_GB2312" w:cs="仿宋_GB2312" w:eastAsia="仿宋_GB2312"/>
                <w:sz w:val="22"/>
                <w:color w:val="000000"/>
              </w:rPr>
              <w:t>技术参数：输送带尺寸（长</w:t>
            </w:r>
            <w:r>
              <w:rPr>
                <w:rFonts w:ascii="仿宋_GB2312" w:hAnsi="仿宋_GB2312" w:cs="仿宋_GB2312" w:eastAsia="仿宋_GB2312"/>
                <w:sz w:val="22"/>
                <w:color w:val="000000"/>
              </w:rPr>
              <w:t>X宽）mm：8000 X800；配套动力（kw）：≥3；输送机侧板：钢板折弯；侧板高度：≥30cm;整机重量（kg）：≥350；移动方式：实芯轮*2、万向轮*2</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三缸打包机</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技术参数：功率：</w:t>
            </w:r>
            <w:r>
              <w:rPr>
                <w:rFonts w:ascii="仿宋_GB2312" w:hAnsi="仿宋_GB2312" w:cs="仿宋_GB2312" w:eastAsia="仿宋_GB2312"/>
                <w:sz w:val="22"/>
                <w:color w:val="000000"/>
              </w:rPr>
              <w:t>≥20kw (双输出轴) ；油泵数量：3 个；液压油冷却方式：水冷；操作方式：全自动控制； 压捆能力 (捆/h):≥100 捆/h；打包整捆重量(Kg):50-60(青秸秆）；15-25 (干秸秆)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color w:val="000000"/>
              </w:rPr>
              <w:t>秸秆加工设备集中控制箱</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5个</w:t>
            </w:r>
          </w:p>
          <w:p>
            <w:pPr>
              <w:pStyle w:val="null3"/>
              <w:jc w:val="both"/>
            </w:pPr>
            <w:r>
              <w:rPr>
                <w:rFonts w:ascii="仿宋_GB2312" w:hAnsi="仿宋_GB2312" w:cs="仿宋_GB2312" w:eastAsia="仿宋_GB2312"/>
                <w:sz w:val="21"/>
                <w:color w:val="000000"/>
              </w:rPr>
              <w:t>技术参数：一级控制箱1个，箱体≥80cm宽*120cm高（配备漏电保护器400A*4个 ）</w:t>
            </w:r>
          </w:p>
          <w:p>
            <w:pPr>
              <w:pStyle w:val="null3"/>
            </w:pPr>
            <w:r>
              <w:rPr>
                <w:rFonts w:ascii="仿宋_GB2312" w:hAnsi="仿宋_GB2312" w:cs="仿宋_GB2312" w:eastAsia="仿宋_GB2312"/>
                <w:sz w:val="21"/>
                <w:color w:val="000000"/>
              </w:rPr>
              <w:t>二级控制箱1个：</w:t>
            </w:r>
            <w:r>
              <w:rPr>
                <w:rFonts w:ascii="仿宋_GB2312" w:hAnsi="仿宋_GB2312" w:cs="仿宋_GB2312" w:eastAsia="仿宋_GB2312"/>
                <w:sz w:val="21"/>
                <w:color w:val="000000"/>
              </w:rPr>
              <w:t>箱体≥</w:t>
            </w:r>
            <w:r>
              <w:rPr>
                <w:rFonts w:ascii="仿宋_GB2312" w:hAnsi="仿宋_GB2312" w:cs="仿宋_GB2312" w:eastAsia="仿宋_GB2312"/>
                <w:sz w:val="21"/>
                <w:color w:val="000000"/>
              </w:rPr>
              <w:t>80cm宽*120cm高（</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漏电保护器160A*6个）</w:t>
            </w:r>
          </w:p>
          <w:p>
            <w:pPr>
              <w:pStyle w:val="null3"/>
            </w:pPr>
            <w:r>
              <w:rPr>
                <w:rFonts w:ascii="仿宋_GB2312" w:hAnsi="仿宋_GB2312" w:cs="仿宋_GB2312" w:eastAsia="仿宋_GB2312"/>
                <w:sz w:val="21"/>
                <w:color w:val="000000"/>
              </w:rPr>
              <w:t>三级控制箱3个：</w:t>
            </w:r>
            <w:r>
              <w:rPr>
                <w:rFonts w:ascii="仿宋_GB2312" w:hAnsi="仿宋_GB2312" w:cs="仿宋_GB2312" w:eastAsia="仿宋_GB2312"/>
                <w:sz w:val="21"/>
                <w:color w:val="000000"/>
              </w:rPr>
              <w:t>箱体≥</w:t>
            </w:r>
            <w:r>
              <w:rPr>
                <w:rFonts w:ascii="仿宋_GB2312" w:hAnsi="仿宋_GB2312" w:cs="仿宋_GB2312" w:eastAsia="仿宋_GB2312"/>
                <w:sz w:val="21"/>
                <w:color w:val="000000"/>
              </w:rPr>
              <w:t>50cm款=宽*80cm高（</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漏电保护器160A*8个）</w:t>
            </w:r>
          </w:p>
          <w:p>
            <w:pPr>
              <w:pStyle w:val="null3"/>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2"/>
                <w:color w:val="000000"/>
              </w:rPr>
              <w:t>铡草机</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10台</w:t>
            </w:r>
          </w:p>
          <w:p>
            <w:pPr>
              <w:pStyle w:val="null3"/>
              <w:jc w:val="both"/>
            </w:pPr>
            <w:r>
              <w:rPr>
                <w:rFonts w:ascii="仿宋_GB2312" w:hAnsi="仿宋_GB2312" w:cs="仿宋_GB2312" w:eastAsia="仿宋_GB2312"/>
                <w:sz w:val="22"/>
                <w:color w:val="000000"/>
              </w:rPr>
              <w:t>技术参数：结构形式：桶式；功率：</w:t>
            </w:r>
            <w:r>
              <w:rPr>
                <w:rFonts w:ascii="仿宋_GB2312" w:hAnsi="仿宋_GB2312" w:cs="仿宋_GB2312" w:eastAsia="仿宋_GB2312"/>
                <w:sz w:val="22"/>
                <w:color w:val="000000"/>
              </w:rPr>
              <w:t>3kw；生产效率：≥2500kg/h；切草长度：≤15mm，喂入口宽度：≥20cm；喂入方式：手动；动刀片数量：≥5片</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颗粒饲料压制机</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技术参数：结构形式：立式平模；额定功率：</w:t>
            </w:r>
            <w:r>
              <w:rPr>
                <w:rFonts w:ascii="仿宋_GB2312" w:hAnsi="仿宋_GB2312" w:cs="仿宋_GB2312" w:eastAsia="仿宋_GB2312"/>
                <w:sz w:val="22"/>
                <w:color w:val="000000"/>
              </w:rPr>
              <w:t>≥20kw；压模直径：Φ300；压模有效宽度：≥70mm；压辊数量：4个；纯工作小时生产率：≥600kg/h</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2"/>
                <w:color w:val="000000"/>
              </w:rPr>
              <w:t>螺旋颗粒输送机</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技术参数：螺旋直径</w:t>
            </w:r>
            <w:r>
              <w:rPr>
                <w:rFonts w:ascii="仿宋_GB2312" w:hAnsi="仿宋_GB2312" w:cs="仿宋_GB2312" w:eastAsia="仿宋_GB2312"/>
                <w:sz w:val="22"/>
                <w:color w:val="000000"/>
              </w:rPr>
              <w:t>≥150mm；电机功率：≥2.5kw；每小时最大出料量：≥1800kg，最大提升角度：≥40度</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抓木机</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技术参数：载重</w:t>
            </w:r>
            <w:r>
              <w:rPr>
                <w:rFonts w:ascii="仿宋_GB2312" w:hAnsi="仿宋_GB2312" w:cs="仿宋_GB2312" w:eastAsia="仿宋_GB2312"/>
                <w:sz w:val="22"/>
                <w:color w:val="000000"/>
              </w:rPr>
              <w:t>≥600kg；最小转弯半径≤4.2米；功率：≥35kw；卸载高度：≥2.5米；卸载距离：≥850mm</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秸秆转运车1  数量：1台</w:t>
            </w:r>
          </w:p>
          <w:p>
            <w:pPr>
              <w:pStyle w:val="null3"/>
              <w:jc w:val="both"/>
            </w:pPr>
            <w:r>
              <w:rPr>
                <w:rFonts w:ascii="仿宋_GB2312" w:hAnsi="仿宋_GB2312" w:cs="仿宋_GB2312" w:eastAsia="仿宋_GB2312"/>
                <w:sz w:val="22"/>
                <w:color w:val="000000"/>
              </w:rPr>
              <w:t>技术参数：货箱长度：≥</w:t>
            </w:r>
            <w:r>
              <w:rPr>
                <w:rFonts w:ascii="仿宋_GB2312" w:hAnsi="仿宋_GB2312" w:cs="仿宋_GB2312" w:eastAsia="仿宋_GB2312"/>
                <w:sz w:val="22"/>
                <w:color w:val="000000"/>
              </w:rPr>
              <w:t>2.7米；额定载重：≥700kg；发动机型式：直列四缸；燃料类型：汽油；排放标准：国六；发动机马力：≥80匹；准载人数：</w:t>
            </w:r>
            <w:r>
              <w:rPr>
                <w:rFonts w:ascii="仿宋_GB2312" w:hAnsi="仿宋_GB2312" w:cs="仿宋_GB2312" w:eastAsia="仿宋_GB2312"/>
                <w:sz w:val="22"/>
                <w:color w:val="000000"/>
              </w:rPr>
              <w:t>≥</w:t>
            </w:r>
            <w:r>
              <w:rPr>
                <w:rFonts w:ascii="仿宋_GB2312" w:hAnsi="仿宋_GB2312" w:cs="仿宋_GB2312" w:eastAsia="仿宋_GB2312"/>
                <w:sz w:val="22"/>
                <w:color w:val="000000"/>
              </w:rPr>
              <w:t>2人；变速箱：手动</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秸秆转运车</w:t>
            </w:r>
            <w:r>
              <w:rPr>
                <w:rFonts w:ascii="仿宋_GB2312" w:hAnsi="仿宋_GB2312" w:cs="仿宋_GB2312" w:eastAsia="仿宋_GB2312"/>
                <w:sz w:val="22"/>
                <w:color w:val="000000"/>
              </w:rPr>
              <w:t>2  数量：1台</w:t>
            </w:r>
          </w:p>
          <w:p>
            <w:pPr>
              <w:pStyle w:val="null3"/>
              <w:jc w:val="both"/>
            </w:pPr>
            <w:r>
              <w:rPr>
                <w:rFonts w:ascii="仿宋_GB2312" w:hAnsi="仿宋_GB2312" w:cs="仿宋_GB2312" w:eastAsia="仿宋_GB2312"/>
                <w:sz w:val="22"/>
                <w:color w:val="000000"/>
              </w:rPr>
              <w:t>技术参数：货箱长度：≥</w:t>
            </w:r>
            <w:r>
              <w:rPr>
                <w:rFonts w:ascii="仿宋_GB2312" w:hAnsi="仿宋_GB2312" w:cs="仿宋_GB2312" w:eastAsia="仿宋_GB2312"/>
                <w:sz w:val="22"/>
                <w:color w:val="000000"/>
              </w:rPr>
              <w:t>4.2米；额定载重：≥1200kg；发动机型式：直列四缸；燃料类型：汽油；排放标准：国六；发动机马力：≥120匹；准载人数：≥2人；变速箱：手动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2"/>
                <w:color w:val="000000"/>
              </w:rPr>
              <w:t>汽车衡</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2.5米*6米；测量精度：10公斤</w:t>
            </w:r>
            <w:r>
              <w:rPr>
                <w:rFonts w:ascii="仿宋_GB2312" w:hAnsi="仿宋_GB2312" w:cs="仿宋_GB2312" w:eastAsia="仿宋_GB2312"/>
                <w:sz w:val="22"/>
                <w:color w:val="000000"/>
              </w:rPr>
              <w:t>；称重范围：0.4吨-20吨；自重：≥1.5吨；电压电源：220v；配置数字仪表、电子显示屏、传感器等辅助设备</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生产线场地局部加固      面积：200㎡</w:t>
            </w:r>
          </w:p>
          <w:p>
            <w:pPr>
              <w:pStyle w:val="null3"/>
            </w:pPr>
            <w:r>
              <w:rPr>
                <w:rFonts w:ascii="仿宋_GB2312" w:hAnsi="仿宋_GB2312" w:cs="仿宋_GB2312" w:eastAsia="仿宋_GB2312"/>
                <w:sz w:val="21"/>
              </w:rPr>
              <w:t>技术参数：C30混凝土硬化，厚度≥15cm</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汽车衡基础    数量：1座</w:t>
            </w:r>
          </w:p>
          <w:p>
            <w:pPr>
              <w:pStyle w:val="null3"/>
            </w:pPr>
            <w:r>
              <w:rPr>
                <w:rFonts w:ascii="仿宋_GB2312" w:hAnsi="仿宋_GB2312" w:cs="仿宋_GB2312" w:eastAsia="仿宋_GB2312"/>
                <w:sz w:val="21"/>
              </w:rPr>
              <w:t>供应商应根据供应的货物规格（汽车衡），配套建设汽车衡基础，结构形式：钢筋混凝土结构（场地由采购人确定）</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电缆电线供货及安装</w:t>
            </w:r>
          </w:p>
          <w:p>
            <w:pPr>
              <w:pStyle w:val="null3"/>
              <w:jc w:val="both"/>
            </w:pPr>
            <w:r>
              <w:rPr>
                <w:rFonts w:ascii="仿宋_GB2312" w:hAnsi="仿宋_GB2312" w:cs="仿宋_GB2312" w:eastAsia="仿宋_GB2312"/>
                <w:sz w:val="21"/>
              </w:rPr>
              <w:t>YJV3*70+2*50平方毫米电缆60米</w:t>
            </w:r>
          </w:p>
          <w:p>
            <w:pPr>
              <w:pStyle w:val="null3"/>
            </w:pPr>
            <w:r>
              <w:rPr>
                <w:rFonts w:ascii="仿宋_GB2312" w:hAnsi="仿宋_GB2312" w:cs="仿宋_GB2312" w:eastAsia="仿宋_GB2312"/>
                <w:sz w:val="21"/>
              </w:rPr>
              <w:t>YJV3*50+2*50平方毫米电缆15米</w:t>
            </w:r>
          </w:p>
          <w:p>
            <w:pPr>
              <w:pStyle w:val="null3"/>
            </w:pPr>
            <w:r>
              <w:rPr>
                <w:rFonts w:ascii="仿宋_GB2312" w:hAnsi="仿宋_GB2312" w:cs="仿宋_GB2312" w:eastAsia="仿宋_GB2312"/>
                <w:sz w:val="21"/>
              </w:rPr>
              <w:t>80YJV3*25+2*50平方毫米电缆80米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汉中市南郑区青树镇王家坝村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供货进度达到80%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由镇、村、供应商共同组织验收，标的物质量达国家相关标准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保修范围：整机及零部件 保修期：生产加工设备2年，车辆保修期按厂家出厂证书承诺质保期计算。</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供应商具有独立承担民事责任能力的法人、其他组织或自然人，提供有效营业执照/事业单位法人证书/其他组织的有效证明文件/自然人的身份证明/民办非企业单位登记证书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法定代表人或委托代理人相关证明</w:t>
            </w:r>
          </w:p>
        </w:tc>
        <w:tc>
          <w:tcPr>
            <w:tcW w:type="dxa" w:w="3322"/>
          </w:tcPr>
          <w:p>
            <w:pPr>
              <w:pStyle w:val="null3"/>
            </w:pPr>
            <w:r>
              <w:rPr>
                <w:rFonts w:ascii="仿宋_GB2312" w:hAnsi="仿宋_GB2312" w:cs="仿宋_GB2312" w:eastAsia="仿宋_GB2312"/>
              </w:rPr>
              <w:t>法定代表人参加开标会议的，须出具法定代表人证明书及法定代表人合法有效的身份证扫描件；法定代表人授权他人参加开标会议的，须提供法定代表人授权委托书及被授权代表的身份证扫描件</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投标人名称是否与营业执照一致</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响应文件是否按竞争性谈判文件要求签署、盖章的</w:t>
            </w:r>
          </w:p>
        </w:tc>
        <w:tc>
          <w:tcPr>
            <w:tcW w:type="dxa" w:w="3322"/>
          </w:tcPr>
          <w:p>
            <w:pPr>
              <w:pStyle w:val="null3"/>
            </w:pPr>
            <w:r>
              <w:rPr>
                <w:rFonts w:ascii="仿宋_GB2312" w:hAnsi="仿宋_GB2312" w:cs="仿宋_GB2312" w:eastAsia="仿宋_GB2312"/>
              </w:rPr>
              <w:t>响应文件是否按竞争性谈判文件要求签署、盖章的</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残疾人福利性单位声明函 标的清单 项目整体实施方案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项目整体实施方案、产品技术参数</w:t>
            </w:r>
          </w:p>
        </w:tc>
        <w:tc>
          <w:tcPr>
            <w:tcW w:type="dxa" w:w="3322"/>
          </w:tcPr>
          <w:p>
            <w:pPr>
              <w:pStyle w:val="null3"/>
            </w:pPr>
            <w:r>
              <w:rPr>
                <w:rFonts w:ascii="仿宋_GB2312" w:hAnsi="仿宋_GB2312" w:cs="仿宋_GB2312" w:eastAsia="仿宋_GB2312"/>
              </w:rPr>
              <w:t>实施方案切实可行，满足采购项目需求；产品技术参数满足采购文件要求</w:t>
            </w:r>
          </w:p>
        </w:tc>
        <w:tc>
          <w:tcPr>
            <w:tcW w:type="dxa" w:w="1661"/>
          </w:tcPr>
          <w:p>
            <w:pPr>
              <w:pStyle w:val="null3"/>
            </w:pPr>
            <w:r>
              <w:rPr>
                <w:rFonts w:ascii="仿宋_GB2312" w:hAnsi="仿宋_GB2312" w:cs="仿宋_GB2312" w:eastAsia="仿宋_GB2312"/>
              </w:rPr>
              <w:t>产品技术参数表 项目整体实施方案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响应文件不存在法律、法规和竞争性谈判文件规定的其他无效情形</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项目整体实施方案 响应函 汉中市政府采购供应商资格承诺函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详见附件：项目整体实施方案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