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版本号：SJZY-2025-02120250721001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南郑区青树镇初级中学消防改造项目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SJZY-2025-021</w:t>
      </w:r>
      <w:r>
        <w:br/>
      </w:r>
      <w:r>
        <w:br/>
      </w:r>
      <w:r>
        <w:br/>
      </w:r>
    </w:p>
    <w:p>
      <w:pPr>
        <w:pStyle w:val="null3"/>
        <w:jc w:val="center"/>
        <w:outlineLvl w:val="2"/>
      </w:pPr>
      <w:r>
        <w:rPr>
          <w:rFonts w:ascii="仿宋_GB2312" w:hAnsi="仿宋_GB2312" w:cs="仿宋_GB2312" w:eastAsia="仿宋_GB2312"/>
          <w:sz w:val="28"/>
          <w:b/>
        </w:rPr>
        <w:t>汉中市南郑区青树镇初级中学</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汉中市南郑区青树镇初级中学</w:t>
      </w:r>
      <w:r>
        <w:rPr>
          <w:rFonts w:ascii="仿宋_GB2312" w:hAnsi="仿宋_GB2312" w:cs="仿宋_GB2312" w:eastAsia="仿宋_GB2312"/>
        </w:rPr>
        <w:t>委托，拟对</w:t>
      </w:r>
      <w:r>
        <w:rPr>
          <w:rFonts w:ascii="仿宋_GB2312" w:hAnsi="仿宋_GB2312" w:cs="仿宋_GB2312" w:eastAsia="仿宋_GB2312"/>
        </w:rPr>
        <w:t>南郑区青树镇初级中学消防改造项目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南郑区青树镇初级中学消防改造项目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该工程位于汉中市南郑区青树镇初级中学校园内，主要建设内容为：消防改造工程、室外工程等电气配管配线等配套设施工程。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采购包1（南郑区青树镇初级中学消防改造项目）：属于专门面向中小企业采购。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陕西省汉中市南郑区青树镇西大街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南郑县青树镇初级中学经办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15929596085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开户名称：陕西世佳卓越项目管理有限公司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银行账号：2606053609200329271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汉中市南郑区青树镇初级中学</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汉中市南郑区青树镇初级中学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汉中市南郑区青树镇初级中学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地址：汉中市汉台区北关街道办事处张万营社区西环路北段龙城苑写字楼3层317室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1,149,800.00</w:t>
      </w:r>
    </w:p>
    <w:p>
      <w:pPr>
        <w:pStyle w:val="null3"/>
      </w:pPr>
      <w:r>
        <w:rPr>
          <w:rFonts w:ascii="仿宋_GB2312" w:hAnsi="仿宋_GB2312" w:cs="仿宋_GB2312" w:eastAsia="仿宋_GB2312"/>
        </w:rPr>
        <w:t>采购包最高限价（元）: 1,118,682.25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南郑区青树镇初级中学消防改造项目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1,149,800.00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标的名称：南郑区青树镇初级中学消防改造项目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汉中市南郑区青树镇初级中学校园内</w:t>
            </w:r>
            <w:r>
              <w:rPr>
                <w:rFonts w:ascii="仿宋_GB2312" w:hAnsi="仿宋_GB2312" w:cs="仿宋_GB2312" w:eastAsia="仿宋_GB2312"/>
                <w:sz w:val="28"/>
              </w:rPr>
              <w:t>，</w:t>
            </w:r>
            <w:r>
              <w:rPr>
                <w:rFonts w:ascii="仿宋_GB2312" w:hAnsi="仿宋_GB2312" w:cs="仿宋_GB2312" w:eastAsia="仿宋_GB2312"/>
                <w:sz w:val="28"/>
              </w:rPr>
              <w:t>主要建设内容为：消防改造工程、室外工程等电气配管配线等配套设施工程。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汉中市南郑区青树镇初级中学消防改造项目的图纸及</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月《汉中市建设工程造价信息》材料价综合计取。</w:t>
            </w:r>
          </w:p>
          <w:p>
            <w:pPr>
              <w:pStyle w:val="null3"/>
              <w:ind w:firstLine="560"/>
              <w:jc w:val="both"/>
            </w:pPr>
            <w:r>
              <w:rPr>
                <w:rFonts w:ascii="仿宋_GB2312" w:hAnsi="仿宋_GB2312" w:cs="仿宋_GB2312" w:eastAsia="仿宋_GB2312"/>
              </w:rPr>
              <w:t>8、</w:t>
            </w:r>
            <w:r>
              <w:rPr>
                <w:rFonts w:ascii="仿宋_GB2312" w:hAnsi="仿宋_GB2312" w:cs="仿宋_GB2312" w:eastAsia="仿宋_GB2312"/>
                <w:sz w:val="28"/>
              </w:rPr>
              <w:t>广联达计价软件</w:t>
            </w:r>
            <w:r>
              <w:rPr>
                <w:rFonts w:ascii="仿宋_GB2312" w:hAnsi="仿宋_GB2312" w:cs="仿宋_GB2312" w:eastAsia="仿宋_GB2312"/>
                <w:sz w:val="28"/>
              </w:rPr>
              <w:t>6</w:t>
            </w:r>
            <w:r>
              <w:rPr>
                <w:rFonts w:ascii="仿宋_GB2312" w:hAnsi="仿宋_GB2312" w:cs="仿宋_GB2312" w:eastAsia="仿宋_GB2312"/>
                <w:sz w:val="28"/>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本项目工期：50日历天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 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项目经理部组成人员配置表.docx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详见附件：项目经理部组成人员配置表.docx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