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版本号：SXJH-2025-01420250723001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红庙镇2025年通组道路(第二次)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SXJH-2025-014</w:t>
      </w:r>
      <w:r>
        <w:br/>
      </w:r>
      <w:r>
        <w:br/>
      </w:r>
      <w:r>
        <w:br/>
      </w:r>
    </w:p>
    <w:p>
      <w:pPr>
        <w:pStyle w:val="null3"/>
        <w:jc w:val="center"/>
        <w:outlineLvl w:val="2"/>
      </w:pPr>
      <w:r>
        <w:rPr>
          <w:rFonts w:ascii="仿宋_GB2312" w:hAnsi="仿宋_GB2312" w:cs="仿宋_GB2312" w:eastAsia="仿宋_GB2312"/>
          <w:sz w:val="28"/>
          <w:b/>
        </w:rPr>
        <w:t>汉中市南郑区红庙镇人民政府</w:t>
      </w:r>
    </w:p>
    <w:p>
      <w:pPr>
        <w:pStyle w:val="null3"/>
        <w:jc w:val="center"/>
        <w:outlineLvl w:val="2"/>
      </w:pPr>
      <w:r>
        <w:rPr>
          <w:rFonts w:ascii="仿宋_GB2312" w:hAnsi="仿宋_GB2312" w:cs="仿宋_GB2312" w:eastAsia="仿宋_GB2312"/>
          <w:sz w:val="28"/>
          <w:b/>
        </w:rPr>
        <w:t>陕西佳鸿项目管理咨询有限公司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陕西佳鸿项目管理咨询有限公司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汉中市南郑区红庙镇人民政府</w:t>
      </w:r>
      <w:r>
        <w:rPr>
          <w:rFonts w:ascii="仿宋_GB2312" w:hAnsi="仿宋_GB2312" w:cs="仿宋_GB2312" w:eastAsia="仿宋_GB2312"/>
        </w:rPr>
        <w:t>委托，拟对</w:t>
      </w:r>
      <w:r>
        <w:rPr>
          <w:rFonts w:ascii="仿宋_GB2312" w:hAnsi="仿宋_GB2312" w:cs="仿宋_GB2312" w:eastAsia="仿宋_GB2312"/>
        </w:rPr>
        <w:t>红庙镇2025年通组道路(第二次)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SXJH-2025-014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红庙镇2025年通组道路(第二次)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主要建设内容为南郑区红庙镇西沟村十三组道路及南郑区红庙镇柳林村六组通组道路路面工程。1、柳林村六组通组道路，拟建设里程 0.733公里。2、西沟村十三组通组道路，拟建设里程 1.95 公里。具体详见工程量清单。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采购包1（红庙镇2025年通组道路(第二次)）：属于专门面向中小企业采购。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4、中小企业声明函：本项目专门面向中小企业采购，供应商需提供中小企业声明函。</w:t>
      </w:r>
    </w:p>
    <w:p>
      <w:pPr>
        <w:pStyle w:val="null3"/>
      </w:pPr>
      <w:r>
        <w:rPr>
          <w:rFonts w:ascii="仿宋_GB2312" w:hAnsi="仿宋_GB2312" w:cs="仿宋_GB2312" w:eastAsia="仿宋_GB2312"/>
        </w:rPr>
        <w:t>5、信用查询：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p>
      <w:pPr>
        <w:pStyle w:val="null3"/>
      </w:pPr>
      <w:r>
        <w:rPr>
          <w:rFonts w:ascii="仿宋_GB2312" w:hAnsi="仿宋_GB2312" w:cs="仿宋_GB2312" w:eastAsia="仿宋_GB2312"/>
        </w:rPr>
        <w:t>6、供应商资质：供应商须具备公路工程施工总承包三级（含三级）及以上资质，具有有效的安全生产许可证。</w:t>
      </w:r>
    </w:p>
    <w:p>
      <w:pPr>
        <w:pStyle w:val="null3"/>
      </w:pPr>
      <w:r>
        <w:rPr>
          <w:rFonts w:ascii="仿宋_GB2312" w:hAnsi="仿宋_GB2312" w:cs="仿宋_GB2312" w:eastAsia="仿宋_GB2312"/>
        </w:rPr>
        <w:t>7、拟派项目负责人资质和专业要求：拟派项目负责人须具有有效的公路工程专业二级以上（含二级）注册建造师资格（不含临时执业资格）和安全生产考核合格B证，在本单位注册且无在建项目。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汉中市南郑区红庙镇人民政府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红庙镇迎宾街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汉中市南郑区红庙镇人民政府经办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18729660939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陕西佳鸿项目管理咨询有限公司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陕西省汉中市汉台区滨江路中青凯旋门西南门右边商铺202号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0916-8818681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采购包1：1,006,880.00元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开户名称：陕西佳鸿项目管理咨询有限公司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银行账号：61050165500009666999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在签订合同前，中标人应向采购人提交履约保证金。采用银行保函时，中标人应保证银行保函有效。中标人不能提交履约保证金的，视为放弃中标，其投标保证金不予退还，给采购人造成的损失超过投标保证金数额的，中标人还应对超过部分予以赔偿。</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标准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汉中市南郑区红庙镇人民政府</w:t>
      </w:r>
      <w:r>
        <w:rPr>
          <w:rFonts w:ascii="仿宋_GB2312" w:hAnsi="仿宋_GB2312" w:cs="仿宋_GB2312" w:eastAsia="仿宋_GB2312"/>
        </w:rPr>
        <w:t>和</w:t>
      </w:r>
      <w:r>
        <w:rPr>
          <w:rFonts w:ascii="仿宋_GB2312" w:hAnsi="仿宋_GB2312" w:cs="仿宋_GB2312" w:eastAsia="仿宋_GB2312"/>
        </w:rPr>
        <w:t>陕西佳鸿项目管理咨询有限公司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汉中市南郑区红庙镇人民政府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陕西佳鸿项目管理咨询有限公司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汉中市南郑区红庙镇人民政府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陕西佳鸿项目管理咨询有限公司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联系人：韦女士</w:t>
      </w:r>
    </w:p>
    <w:p>
      <w:pPr>
        <w:pStyle w:val="null3"/>
      </w:pPr>
      <w:r>
        <w:rPr>
          <w:rFonts w:ascii="仿宋_GB2312" w:hAnsi="仿宋_GB2312" w:cs="仿宋_GB2312" w:eastAsia="仿宋_GB2312"/>
        </w:rPr>
        <w:t>联系电话：0916-8818681</w:t>
      </w:r>
    </w:p>
    <w:p>
      <w:pPr>
        <w:pStyle w:val="null3"/>
      </w:pPr>
      <w:r>
        <w:rPr>
          <w:rFonts w:ascii="仿宋_GB2312" w:hAnsi="仿宋_GB2312" w:cs="仿宋_GB2312" w:eastAsia="仿宋_GB2312"/>
        </w:rPr>
        <w:t>地址：陕西省汉中市汉台区滨江路中青凯旋门西南门右边商铺202号</w:t>
      </w:r>
    </w:p>
    <w:p>
      <w:pPr>
        <w:pStyle w:val="null3"/>
      </w:pPr>
      <w:r>
        <w:rPr>
          <w:rFonts w:ascii="仿宋_GB2312" w:hAnsi="仿宋_GB2312" w:cs="仿宋_GB2312" w:eastAsia="仿宋_GB2312"/>
        </w:rPr>
        <w:t>邮编：723099</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1,006,880.00</w:t>
      </w:r>
    </w:p>
    <w:p>
      <w:pPr>
        <w:pStyle w:val="null3"/>
      </w:pPr>
      <w:r>
        <w:rPr>
          <w:rFonts w:ascii="仿宋_GB2312" w:hAnsi="仿宋_GB2312" w:cs="仿宋_GB2312" w:eastAsia="仿宋_GB2312"/>
        </w:rPr>
        <w:t>采购包最高限价（元）: 1,006,880.00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红庙镇2025年通组道路(第二次)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1,006,880.00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交通运输业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标的名称：红庙镇2025年通组道路(第二次)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工期：60日历天</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left="105"/>
            </w:pPr>
            <w:r>
              <w:rPr>
                <w:rFonts w:ascii="仿宋_GB2312" w:hAnsi="仿宋_GB2312" w:cs="仿宋_GB2312" w:eastAsia="仿宋_GB2312"/>
                <w:sz w:val="21"/>
              </w:rPr>
              <w:t>质量要求：</w:t>
            </w: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安全目标</w:t>
            </w:r>
            <w:r>
              <w:rPr>
                <w:rFonts w:ascii="仿宋_GB2312" w:hAnsi="仿宋_GB2312" w:cs="仿宋_GB2312" w:eastAsia="仿宋_GB2312"/>
                <w:sz w:val="21"/>
                <w:b/>
              </w:rPr>
              <w:t>：</w:t>
            </w:r>
            <w:r>
              <w:rPr>
                <w:rFonts w:ascii="仿宋_GB2312" w:hAnsi="仿宋_GB2312" w:cs="仿宋_GB2312" w:eastAsia="仿宋_GB2312"/>
                <w:sz w:val="21"/>
                <w:b/>
              </w:rPr>
              <w:t>平安工地创建全覆盖，零死亡。</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磋商响应文件提交截止日一年内银行出具的资信证明，④供应商注册时间截至磋商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需提供【中国执行信息公开网（http://zxgk.court.gov.cn/）】“失信被执行人”、【信用中国(www.creditchina.gov.cn)】“重大税收违法失信主体”，【中国政府采购网（www.ccgp.gov.cn）】“政府采购严重违法失信行为记录名单”对企业信用记录查询截图，栏目中有失信等负面信息的潜在供应商，将拒绝参加本项目。</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供应商须具备公路工程施工总承包三级（含三级）及以上资质，具有有效的安全生产许可证。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拟派项目负责人须具有有效的公路工程专业二级以上（含二级）注册建造师资格（不含临时执业资格）和安全生产考核合格B证，在本单位注册且无在建项目。</w:t>
            </w:r>
          </w:p>
        </w:tc>
        <w:tc>
          <w:tcPr>
            <w:tcW w:type="dxa" w:w="1661"/>
          </w:tcPr>
          <w:p>
            <w:pPr>
              <w:pStyle w:val="null3"/>
            </w:pPr>
            <w:r>
              <w:rPr>
                <w:rFonts w:ascii="仿宋_GB2312" w:hAnsi="仿宋_GB2312" w:cs="仿宋_GB2312" w:eastAsia="仿宋_GB2312"/>
              </w:rPr>
              <w:t>项目管理机构组成表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磋商响应文件是否按照磋商文件要求的格式编写；磋商响应文件内容是否无重大缺漏项。</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提供的各种证明文件、数据、资料是否真实、有效。</w:t>
            </w:r>
          </w:p>
        </w:tc>
        <w:tc>
          <w:tcPr>
            <w:tcW w:type="dxa" w:w="1661"/>
          </w:tcPr>
          <w:p>
            <w:pPr>
              <w:pStyle w:val="null3"/>
            </w:pPr>
            <w:r>
              <w:rPr>
                <w:rFonts w:ascii="仿宋_GB2312" w:hAnsi="仿宋_GB2312" w:cs="仿宋_GB2312" w:eastAsia="仿宋_GB2312"/>
              </w:rPr>
              <w:t>项目管理机构组成表 供应商应提交的相关资格证明材料.pdf 供应商类似项目业绩一览表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磋商文件的响应程度</w:t>
            </w:r>
          </w:p>
        </w:tc>
        <w:tc>
          <w:tcPr>
            <w:tcW w:type="dxa" w:w="3322"/>
          </w:tcPr>
          <w:p>
            <w:pPr>
              <w:pStyle w:val="null3"/>
            </w:pPr>
            <w:r>
              <w:rPr>
                <w:rFonts w:ascii="仿宋_GB2312" w:hAnsi="仿宋_GB2312" w:cs="仿宋_GB2312" w:eastAsia="仿宋_GB2312"/>
              </w:rPr>
              <w:t>技术方案是否无重大缺漏项；技术服务合同条款及其他商务要求是否无重大偏离；对合同中规定的双方的权利和义务未做出实质性修改。</w:t>
            </w:r>
          </w:p>
        </w:tc>
        <w:tc>
          <w:tcPr>
            <w:tcW w:type="dxa" w:w="1661"/>
          </w:tcPr>
          <w:p>
            <w:pPr>
              <w:pStyle w:val="null3"/>
            </w:pPr>
            <w:r>
              <w:rPr>
                <w:rFonts w:ascii="仿宋_GB2312" w:hAnsi="仿宋_GB2312" w:cs="仿宋_GB2312" w:eastAsia="仿宋_GB2312"/>
              </w:rPr>
              <w:t>技术方案.docx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磋商响应文件中是否有保证金缴纳凭证。（须提供银行转账款凭证复印件、基本存款账户开户许可证复印件）</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磋商报价是否符合要求。①磋商报价符合唯一性要求：②报价表填写符合要求；③计量单位、报价货币均符合磋商文件要求；④未超出采购预算或磋商文件规定的最高限价及工期。</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供应商人员配备齐全，人员配备一般由项目技术负责人、施工员、质量员、安全 员、材料员等人员组成公司人员每提供一个得2分，不提供不得分，满分5分。 （需提供人员身份证、缴纳社保证明、毕业证、在有效期内的资格证书等）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供应商提供2022年1月至今完成的类似项目业绩，每提供一份得2.5分，此项最高得5分；未提供不得分。 注：业绩须是供应商完成的类似项目业绩，时间以成交（中标）通知书或合同或协议书为准（在磋商文件相应部分提供证明文件复印件并加盖供应商公章）。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拟投入的机械设备</w:t>
            </w:r>
          </w:p>
        </w:tc>
        <w:tc>
          <w:tcPr>
            <w:tcW w:type="dxa" w:w="2492"/>
          </w:tcPr>
          <w:p>
            <w:pPr>
              <w:pStyle w:val="null3"/>
            </w:pPr>
            <w:r>
              <w:rPr>
                <w:rFonts w:ascii="仿宋_GB2312" w:hAnsi="仿宋_GB2312" w:cs="仿宋_GB2312" w:eastAsia="仿宋_GB2312"/>
              </w:rPr>
              <w:t>磋商小组根据供应商响应文件中针对本项目拟投入主要工程设备配置情况进行赋分。 ①拟投入主要工程设备配置齐全，合理，完全满足项目需求，得5-3分， ②配备一般，部分满足项目需求得2.9-0.1分， ③不提供不得分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项目施工方案：磋商小组根据供应商响应文件中针对本项目特点及季节，具有完善的项目施工方案，内容应包含质量目标。安全目标，工期目标、文明施工等内容，进行横向比较赋分。 ①方案全面、科学合理、规范，可行性强，得20-14分； ②方案合理、规范，具有一定实施性，得13.9-7分； ③方案简略，可行性欠佳，得6.9-0.1分； ④不提供不得分。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磋商小组根据供应商响应文件中针对本项目工期的进度计划及合理性、可操作性进行横向比较赋分。 ①方案全面、科学合理、规范，可行性强，得10-7分； ②方案合理、规范，具有一定实施性，得6.9-4分； ③方案简略，可行性欠佳，得3.9-0.1分； ④不提供不得分。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磋商小组根据供应商响应文件中针对本项目质量保证措施、管理体系的规划及合理性、可操作性进行横向比较赋分。 ①方案全面、科学合理、规范，可行性强，得10-7分； ②方案合理、规范，具有一定实施性，得6.9-4分； ③方案简略，可行性欠佳，得3.9-0.1分； ④不提供不得分。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施工安全防护措施</w:t>
            </w:r>
          </w:p>
        </w:tc>
        <w:tc>
          <w:tcPr>
            <w:tcW w:type="dxa" w:w="2492"/>
          </w:tcPr>
          <w:p>
            <w:pPr>
              <w:pStyle w:val="null3"/>
            </w:pPr>
            <w:r>
              <w:rPr>
                <w:rFonts w:ascii="仿宋_GB2312" w:hAnsi="仿宋_GB2312" w:cs="仿宋_GB2312" w:eastAsia="仿宋_GB2312"/>
              </w:rPr>
              <w:t>磋商小组根据供应商响应文件中针对本项目施工安全措施及保护措施、管理体系的规划及合理性、可操作性进行横向比较赋分。 ①方案全面、科学合理、规范，可行性强，得10-7分； ②方案合理、规范，具有一定实施性，得6.9-4分； ③方案简略，可行性欠佳，得3.9-0.1分； ④不提供不得分。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售后保修服务及承诺</w:t>
            </w:r>
          </w:p>
        </w:tc>
        <w:tc>
          <w:tcPr>
            <w:tcW w:type="dxa" w:w="2492"/>
          </w:tcPr>
          <w:p>
            <w:pPr>
              <w:pStyle w:val="null3"/>
            </w:pPr>
            <w:r>
              <w:rPr>
                <w:rFonts w:ascii="仿宋_GB2312" w:hAnsi="仿宋_GB2312" w:cs="仿宋_GB2312" w:eastAsia="仿宋_GB2312"/>
              </w:rPr>
              <w:t>磋商小组根据供应商响应文件中针对本项目售后保修服务进行横向比较赋分。 ①售后保修服务措施贴合项目实际，满足采购人及项目需求，保修承诺明确得5-3分 ②售后保修服务内容空洞，措施不明确，承诺不明确，不能完全满足采购人及项目需求[2.9-0.1]。 ③不提供不得分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 磋商报价得分=（磋商基准价/磋商报价）×价格权值（即30%）×100 注：1、磋商小组三分之二以上成员认为某报价有低于成本价嫌疑的，涉嫌不正当竞争的，为无效报价。 2、本项目为专门面向中小企业,不再执行价格评审优惠的扶持政策。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