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8D87D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政府强制采购产品明细表</w:t>
      </w:r>
    </w:p>
    <w:p w14:paraId="43F064FF">
      <w:pPr>
        <w:pStyle w:val="6"/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</w:pPr>
    </w:p>
    <w:tbl>
      <w:tblPr>
        <w:tblStyle w:val="4"/>
        <w:tblW w:w="1045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7"/>
        <w:gridCol w:w="1040"/>
        <w:gridCol w:w="1144"/>
        <w:gridCol w:w="861"/>
        <w:gridCol w:w="1087"/>
        <w:gridCol w:w="1285"/>
        <w:gridCol w:w="1764"/>
        <w:gridCol w:w="805"/>
        <w:gridCol w:w="776"/>
        <w:gridCol w:w="1001"/>
      </w:tblGrid>
      <w:tr w14:paraId="6ABFDC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3" w:hRule="exac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17A5616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序号</w:t>
            </w:r>
          </w:p>
        </w:tc>
        <w:tc>
          <w:tcPr>
            <w:tcW w:w="104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430A101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产品</w:t>
            </w:r>
          </w:p>
          <w:p w14:paraId="515E7F74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名称</w:t>
            </w: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982DD4E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  <w:lang w:val="en-US" w:eastAsia="zh-CN"/>
              </w:rPr>
              <w:t>制造厂家</w:t>
            </w:r>
          </w:p>
        </w:tc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64CA80A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品牌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3F59230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规格型号</w:t>
            </w:r>
          </w:p>
        </w:tc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18137E4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节能标志认证证书号</w:t>
            </w:r>
          </w:p>
        </w:tc>
        <w:tc>
          <w:tcPr>
            <w:tcW w:w="17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5335D74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节能产品认证证书有效截止日期</w:t>
            </w:r>
          </w:p>
        </w:tc>
        <w:tc>
          <w:tcPr>
            <w:tcW w:w="258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2221D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价格</w:t>
            </w:r>
          </w:p>
        </w:tc>
      </w:tr>
      <w:tr w14:paraId="6F1046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exact"/>
          <w:jc w:val="center"/>
        </w:trPr>
        <w:tc>
          <w:tcPr>
            <w:tcW w:w="687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2B15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40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BBD9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14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B21C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F408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2061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C7FE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38BEF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C76E806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单价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276F6C1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数量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FE507"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小计</w:t>
            </w:r>
          </w:p>
        </w:tc>
      </w:tr>
      <w:tr w14:paraId="735EDF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5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62EB4DD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1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0DA5A83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FB200D3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E471395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3030136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AF46140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10274E9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934F331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189E5B8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6EC853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71CDE1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4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36F9F8B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2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EA063B0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D9EAEC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972828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9526255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7CEB6F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D7330C4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83FB96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DF96BE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3EE6CB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3147B9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37D59B5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AE23D9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E07E96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B5719C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48D02C7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C14BCF0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4D6ED762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FD9900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3528FD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45B474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1CDD7A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1F6B49B"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307EE57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kern w:val="2"/>
                <w:position w:val="0"/>
                <w:sz w:val="22"/>
                <w:szCs w:val="22"/>
                <w:shd w:val="clear" w:color="auto" w:fill="auto"/>
                <w:lang w:val="zh-CN" w:eastAsia="zh-CN" w:bidi="zh-CN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3FBB8DA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77B745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B7818A2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8349A7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A174F54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144A5BCF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546727AD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1B0C2A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56E404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944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7DAF0C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>合计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C6A5E5">
            <w:pPr>
              <w:widowControl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</w:tbl>
    <w:p w14:paraId="6CF2B5D4">
      <w:pPr>
        <w:spacing w:line="360" w:lineRule="auto"/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说明：</w:t>
      </w:r>
    </w:p>
    <w:p w14:paraId="6AF332B7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属于《节能产品政府采购品目清单》中政府强制采购产品的，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应当按照《第四章 采购内容及具体要求》提供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国家确定的认证机构出具的、处于有效期之内的节能产品认证证书，否则作无效响应处理。</w:t>
      </w:r>
    </w:p>
    <w:p w14:paraId="40834535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auto"/>
          <w:sz w:val="22"/>
          <w:szCs w:val="22"/>
          <w:u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2"/>
          <w:szCs w:val="22"/>
          <w:u w:val="none"/>
        </w:rPr>
        <w:t>属于政府强制采购产品不填报的，按无效</w:t>
      </w:r>
      <w:r>
        <w:rPr>
          <w:rFonts w:hint="eastAsia" w:ascii="仿宋" w:hAnsi="仿宋" w:eastAsia="仿宋" w:cs="仿宋"/>
          <w:color w:val="auto"/>
          <w:sz w:val="22"/>
          <w:szCs w:val="22"/>
          <w:u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2"/>
          <w:szCs w:val="22"/>
          <w:u w:val="none"/>
        </w:rPr>
        <w:t>文件处理。</w:t>
      </w:r>
    </w:p>
    <w:p w14:paraId="4A139AA9">
      <w:pPr>
        <w:spacing w:line="360" w:lineRule="auto"/>
        <w:ind w:firstLine="440" w:firstLineChars="200"/>
        <w:jc w:val="center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50364264">
      <w:pPr>
        <w:spacing w:line="360" w:lineRule="auto"/>
        <w:ind w:firstLine="440" w:firstLineChars="200"/>
        <w:jc w:val="center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33DD1D31">
      <w:pPr>
        <w:pStyle w:val="2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04D8248A">
      <w:pPr>
        <w:pStyle w:val="2"/>
        <w:rPr>
          <w:rFonts w:hint="eastAsia" w:ascii="仿宋" w:hAnsi="仿宋" w:eastAsia="仿宋" w:cs="仿宋"/>
          <w:bCs/>
          <w:caps/>
          <w:color w:val="auto"/>
          <w:kern w:val="2"/>
          <w:sz w:val="22"/>
          <w:szCs w:val="22"/>
          <w:lang w:val="en-US" w:eastAsia="zh-CN" w:bidi="ar-SA"/>
        </w:rPr>
      </w:pPr>
    </w:p>
    <w:p w14:paraId="6C553D63">
      <w:pPr>
        <w:pStyle w:val="3"/>
        <w:ind w:left="0" w:leftChars="0" w:firstLine="0" w:firstLineChars="0"/>
        <w:rPr>
          <w:rFonts w:hint="eastAsia"/>
          <w:color w:val="auto"/>
          <w:lang w:val="en-US" w:eastAsia="zh-CN"/>
        </w:rPr>
      </w:pPr>
    </w:p>
    <w:p w14:paraId="0172BFAF">
      <w:pPr>
        <w:spacing w:line="360" w:lineRule="auto"/>
        <w:ind w:firstLine="4180" w:firstLineChars="19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：    (填写全称并加盖公章)</w:t>
      </w:r>
    </w:p>
    <w:p w14:paraId="36EB437C">
      <w:pPr>
        <w:spacing w:line="360" w:lineRule="auto"/>
        <w:ind w:firstLine="4180" w:firstLineChars="19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法定代表人或其授权代表： （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签字或盖章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）   </w:t>
      </w:r>
    </w:p>
    <w:p w14:paraId="2B510F54">
      <w:pPr>
        <w:ind w:firstLine="4180" w:firstLineChars="19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日    期：</w:t>
      </w:r>
    </w:p>
    <w:p w14:paraId="59B1956E">
      <w:pPr>
        <w:pStyle w:val="3"/>
        <w:rPr>
          <w:rFonts w:hint="default"/>
          <w:color w:val="auto"/>
          <w:lang w:val="en-US" w:eastAsia="zh-CN"/>
        </w:rPr>
      </w:pPr>
      <w:bookmarkStart w:id="0" w:name="_GoBack"/>
      <w:bookmarkEnd w:id="0"/>
    </w:p>
    <w:p w14:paraId="0C89BB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02447"/>
    <w:rsid w:val="1C4B3B00"/>
    <w:rsid w:val="1F8A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宋体"/>
      <w:szCs w:val="21"/>
    </w:rPr>
  </w:style>
  <w:style w:type="paragraph" w:styleId="3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customStyle="1" w:styleId="6">
    <w:name w:val="样式 首行缩进:  2 字符"/>
    <w:autoRedefine/>
    <w:qFormat/>
    <w:uiPriority w:val="99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  <w:style w:type="paragraph" w:customStyle="1" w:styleId="7">
    <w:name w:val="其他"/>
    <w:basedOn w:val="1"/>
    <w:autoRedefine/>
    <w:qFormat/>
    <w:uiPriority w:val="0"/>
    <w:pPr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2025-07-28T12:03:46Z</dcterms:created>
  <dc:creator>Administrator</dc:creator>
  <cp:lastModifiedBy>云朵-1</cp:lastModifiedBy>
  <dcterms:modified xsi:type="dcterms:W3CDTF">2025-07-28T12:05:22Z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eyJoZGlkIjoiMzhmMmY3NmQ4ZGIyZDQzZmE4OTJjYzI4MTQ2ZWE5ZDEiLCJ1c2VySWQiOiIzMTA0NjY2NjAifQ==</vt:lpwstr>
  </property>
  <property fmtid="{D5CDD505-2E9C-101B-9397-08002B2CF9AE}" pid="4" name="ICV">
    <vt:lpwstr>3232E0FAD5024A8DA2708CA6F1F57DBF_12</vt:lpwstr>
  </property>
</Properties>
</file>