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版本号：HXCG-2025-HZ-07-0820250728001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2025年南郑区小南海镇回军坝村道路硬化革命老区项目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HXCG-2025-HZ-07-08</w:t>
      </w:r>
      <w:r>
        <w:br/>
      </w:r>
      <w:r>
        <w:br/>
      </w:r>
      <w:r>
        <w:br/>
      </w:r>
    </w:p>
    <w:p>
      <w:pPr>
        <w:pStyle w:val="null3"/>
        <w:jc w:val="center"/>
        <w:outlineLvl w:val="2"/>
      </w:pPr>
      <w:r>
        <w:rPr>
          <w:rFonts w:ascii="仿宋_GB2312" w:hAnsi="仿宋_GB2312" w:cs="仿宋_GB2312" w:eastAsia="仿宋_GB2312"/>
          <w:sz w:val="28"/>
          <w:b/>
        </w:rPr>
        <w:t>汉中市南郑区小南海镇人民政府</w:t>
      </w:r>
    </w:p>
    <w:p>
      <w:pPr>
        <w:pStyle w:val="null3"/>
        <w:jc w:val="center"/>
        <w:outlineLvl w:val="2"/>
      </w:pPr>
      <w:r>
        <w:rPr>
          <w:rFonts w:ascii="仿宋_GB2312" w:hAnsi="仿宋_GB2312" w:cs="仿宋_GB2312" w:eastAsia="仿宋_GB2312"/>
          <w:sz w:val="28"/>
          <w:b/>
        </w:rPr>
        <w:t>横信项目管理有限公司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2025年07月28日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横信项目管理有限公司</w:t>
      </w:r>
      <w:r>
        <w:rPr>
          <w:rFonts w:ascii="仿宋_GB2312" w:hAnsi="仿宋_GB2312" w:cs="仿宋_GB2312" w:eastAsia="仿宋_GB2312"/>
        </w:rPr>
        <w:t>（以下简称“代理机构”）受</w:t>
      </w:r>
      <w:r>
        <w:rPr>
          <w:rFonts w:ascii="仿宋_GB2312" w:hAnsi="仿宋_GB2312" w:cs="仿宋_GB2312" w:eastAsia="仿宋_GB2312"/>
        </w:rPr>
        <w:t>汉中市南郑区小南海镇人民政府</w:t>
      </w:r>
      <w:r>
        <w:rPr>
          <w:rFonts w:ascii="仿宋_GB2312" w:hAnsi="仿宋_GB2312" w:cs="仿宋_GB2312" w:eastAsia="仿宋_GB2312"/>
        </w:rPr>
        <w:t>委托，拟对</w:t>
      </w:r>
      <w:r>
        <w:rPr>
          <w:rFonts w:ascii="仿宋_GB2312" w:hAnsi="仿宋_GB2312" w:cs="仿宋_GB2312" w:eastAsia="仿宋_GB2312"/>
        </w:rPr>
        <w:t>2025年南郑区小南海镇回军坝村道路硬化革命老区项目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HXCG-2025-HZ-07-08</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2025年南郑区小南海镇回军坝村道路硬化革命老区项目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该项目位于小南海回军坝村，路线起点位于回军坝村蒋家坝、与旧水泥路相接，终点位于回军坝村席家坪，路线全长2.4公里，路基宽度采用4.5m，路面宽度采用3.5m，两侧路肩宽度各0.5m；路面结构组合（自上而下）为：18cm4.0MPa水泥混凝土面层和16cm2.5Mpa水泥稳定山砂基层，全线共设置错车道8道；共设置标志牌6处，为1处禁令标志，5处警告标志；全线共设置涵洞10道，均为新建1-0.6mⅡ级钢筋混凝土圆管涵10道；Gr-C-2E标准段波形护栏214米，圆头式端头（AT2）4处。</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采购包1（2025年南郑区小南海镇回军坝村道路硬化革命老区项目）：属于专门面向中小企业采购。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的能力：供应商为具有独立承担民事责任能力的企业法人、事业法人、其他组织，提供营业执照原件（事业单位须事业单位法人证、组织机构代码证等证明文件；其他组织应提供合法证明文件）；：具有独立承担民事责任的能力：供应商为具有独立承担民事责任能力的企业法人、事业法人、其他组织，提供营业执照原件（事业单位须事业单位法人证、组织机构代码证等证明文件；其他组织应提供合法证明文件）；</w:t>
      </w:r>
    </w:p>
    <w:p>
      <w:pPr>
        <w:pStyle w:val="null3"/>
      </w:pPr>
      <w:r>
        <w:rPr>
          <w:rFonts w:ascii="仿宋_GB2312" w:hAnsi="仿宋_GB2312" w:cs="仿宋_GB2312" w:eastAsia="仿宋_GB2312"/>
        </w:rPr>
        <w:t>2、供应商具有行政主管部门核发的公路工程施工总承包三级（含三级）及以上资质，且具有有效的安全生产许可证；：供应商具有行政主管部门核发的公路工程施工总承包三级（含三级）及以上资质，且具有有效的安全生产许可证；</w:t>
      </w:r>
    </w:p>
    <w:p>
      <w:pPr>
        <w:pStyle w:val="null3"/>
      </w:pPr>
      <w:r>
        <w:rPr>
          <w:rFonts w:ascii="仿宋_GB2312" w:hAnsi="仿宋_GB2312" w:cs="仿宋_GB2312" w:eastAsia="仿宋_GB2312"/>
        </w:rPr>
        <w:t>3、拟派项目经理须具备公路工程专业二级（含二级）以上注册建造师资格和安全生产考核合格B证，且无在建项目；：拟派项目经理须具备公路工程专业二级（含二级）以上注册建造师资格和安全生产考核合格B证，且无在建项目；</w:t>
      </w:r>
    </w:p>
    <w:p>
      <w:pPr>
        <w:pStyle w:val="null3"/>
      </w:pPr>
      <w:r>
        <w:rPr>
          <w:rFonts w:ascii="仿宋_GB2312" w:hAnsi="仿宋_GB2312" w:cs="仿宋_GB2312" w:eastAsia="仿宋_GB2312"/>
        </w:rPr>
        <w:t>4、供应商须具有健全的财务会计制度、具有履行合同所必需的设备和专业技术能力、具有依法缴纳税收和社会保障资金的良好记录，以及参加本项目采购活动前三年内在经营活动中无重大违法活动记录，供应商提供《汉中市政府采购供应商资格承诺函》；：供应商须具有健全的财务会计制度、具有履行合同所必需的设备和专业技术能力、具有依法缴纳税收和社会保障资金的良好记录，以及参加本项目采购活动前三年内在经营活动中无重大违法活动记录，供应商提供《汉中市政府采购供应商资格承诺函》；</w:t>
      </w:r>
    </w:p>
    <w:p>
      <w:pPr>
        <w:pStyle w:val="null3"/>
      </w:pPr>
      <w:r>
        <w:rPr>
          <w:rFonts w:ascii="仿宋_GB2312" w:hAnsi="仿宋_GB2312" w:cs="仿宋_GB2312" w:eastAsia="仿宋_GB2312"/>
        </w:rPr>
        <w:t>5、供应商应授权合法的人员参加磋商会议，其中法定代表人直接参加的，须出具法人身份证原件，并与营业执照上信息一致；授权代表参加的，须出具法定代表人授权书及被授权人身份证原件；：供应商应授权合法的人员参加磋商会议，其中法定代表人直接参加的，须出具法人身份证原件，并与营业执照上信息一致；授权代表参加的，须出具法定代表人授权书及被授权人身份证原件；</w:t>
      </w:r>
    </w:p>
    <w:p>
      <w:pPr>
        <w:pStyle w:val="null3"/>
      </w:pPr>
      <w:r>
        <w:rPr>
          <w:rFonts w:ascii="仿宋_GB2312" w:hAnsi="仿宋_GB2312" w:cs="仿宋_GB2312" w:eastAsia="仿宋_GB2312"/>
        </w:rPr>
        <w:t>6、本项目不接受联合体磋商；单位负责人为同一人或者存在控股、管理关系的不同单位不得同时参加本次磋商活动；：本项目不接受联合体磋商；单位负责人为同一人或者存在控股、管理关系的不同单位不得同时参加本次磋商活动；</w:t>
      </w:r>
    </w:p>
    <w:p>
      <w:pPr>
        <w:pStyle w:val="null3"/>
      </w:pPr>
      <w:r>
        <w:rPr>
          <w:rFonts w:ascii="仿宋_GB2312" w:hAnsi="仿宋_GB2312" w:cs="仿宋_GB2312" w:eastAsia="仿宋_GB2312"/>
        </w:rPr>
        <w:t>7、本项目专门面向中小企业采购：本项目专门面向中小企业采购</w:t>
      </w:r>
    </w:p>
    <w:p>
      <w:pPr>
        <w:pStyle w:val="null3"/>
      </w:pPr>
      <w:r>
        <w:rPr>
          <w:rFonts w:ascii="仿宋_GB2312" w:hAnsi="仿宋_GB2312" w:cs="仿宋_GB2312" w:eastAsia="仿宋_GB2312"/>
        </w:rPr>
        <w:t>8、提供磋商保证金缴纳凭证：提供磋商保证金缴纳凭证</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汉中市南郑区小南海镇人民政府</w:t>
      </w:r>
    </w:p>
    <w:p>
      <w:pPr>
        <w:pStyle w:val="null3"/>
      </w:pPr>
      <w:r>
        <w:rPr>
          <w:rFonts w:ascii="仿宋_GB2312" w:hAnsi="仿宋_GB2312" w:cs="仿宋_GB2312" w:eastAsia="仿宋_GB2312"/>
        </w:rPr>
        <w:t xml:space="preserve"> 地址： </w:t>
      </w:r>
      <w:r>
        <w:rPr>
          <w:rFonts w:ascii="仿宋_GB2312" w:hAnsi="仿宋_GB2312" w:cs="仿宋_GB2312" w:eastAsia="仿宋_GB2312"/>
        </w:rPr>
        <w:t>小南海镇郑家坝村</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杨先生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13309169659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横信项目管理有限公司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陕西省西安市市本级陕西省西安市经济技术开发区凤城八路180号长和国际D座2单元16层21614室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陕西省西安市经济技术开发区首创国际城八期 64栋楼 307室</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李女士</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18309161539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南郑县政府采购管理股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程辉</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15991836389</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采购包1：1,450,000.00元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采购包1保证金金额：10,000.00元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开户名称：横信项目管理有限公司汉中分公司</w:t>
            </w:r>
          </w:p>
          <w:p>
            <w:pPr>
              <w:pStyle w:val="null3"/>
            </w:pPr>
            <w:r>
              <w:rPr>
                <w:rFonts w:ascii="仿宋_GB2312" w:hAnsi="仿宋_GB2312" w:cs="仿宋_GB2312" w:eastAsia="仿宋_GB2312"/>
              </w:rPr>
              <w:t>开户银行：中国农业银行股份有限公司汉中东一环路支行（行号：103799065106）</w:t>
            </w:r>
          </w:p>
          <w:p>
            <w:pPr>
              <w:pStyle w:val="null3"/>
            </w:pPr>
            <w:r>
              <w:rPr>
                <w:rFonts w:ascii="仿宋_GB2312" w:hAnsi="仿宋_GB2312" w:cs="仿宋_GB2312" w:eastAsia="仿宋_GB2312"/>
              </w:rPr>
              <w:t>银行账号：26650401040002274</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质量保证金缴纳比例：</w:t>
            </w:r>
            <w:r>
              <w:rPr>
                <w:rFonts w:ascii="仿宋_GB2312" w:hAnsi="仿宋_GB2312" w:cs="仿宋_GB2312" w:eastAsia="仿宋_GB2312"/>
              </w:rPr>
              <w:t>3.0</w:t>
            </w:r>
            <w:r>
              <w:rPr>
                <w:rFonts w:ascii="仿宋_GB2312" w:hAnsi="仿宋_GB2312" w:cs="仿宋_GB2312" w:eastAsia="仿宋_GB2312"/>
              </w:rPr>
              <w:t>%</w:t>
            </w:r>
          </w:p>
          <w:p>
            <w:pPr>
              <w:pStyle w:val="null3"/>
            </w:pPr>
            <w:r>
              <w:rPr>
                <w:rFonts w:ascii="仿宋_GB2312" w:hAnsi="仿宋_GB2312" w:cs="仿宋_GB2312" w:eastAsia="仿宋_GB2312"/>
              </w:rPr>
              <w:t>缴纳方式：</w:t>
            </w:r>
            <w:r>
              <w:rPr>
                <w:rFonts w:ascii="仿宋_GB2312" w:hAnsi="仿宋_GB2312" w:cs="仿宋_GB2312" w:eastAsia="仿宋_GB2312"/>
              </w:rPr>
              <w:t>合同款中扣除</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收取参照国家计委颁布的《招标代理服务收费管理暂行办法》(计价格[2002]1980号)和国家发展改革委员会办公厅颁发的《关于招标代理服务收费有关问题的通知》(发改办价格[2003]857号)的有关规定执行</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汉中市南郑区小南海镇人民政府</w:t>
      </w:r>
      <w:r>
        <w:rPr>
          <w:rFonts w:ascii="仿宋_GB2312" w:hAnsi="仿宋_GB2312" w:cs="仿宋_GB2312" w:eastAsia="仿宋_GB2312"/>
        </w:rPr>
        <w:t>和</w:t>
      </w:r>
      <w:r>
        <w:rPr>
          <w:rFonts w:ascii="仿宋_GB2312" w:hAnsi="仿宋_GB2312" w:cs="仿宋_GB2312" w:eastAsia="仿宋_GB2312"/>
        </w:rPr>
        <w:t>横信项目管理有限公司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汉中市南郑区小南海镇人民政府</w:t>
      </w:r>
      <w:r>
        <w:rPr>
          <w:rFonts w:ascii="仿宋_GB2312" w:hAnsi="仿宋_GB2312" w:cs="仿宋_GB2312" w:eastAsia="仿宋_GB2312"/>
        </w:rPr>
        <w:t>负责解释。除上述磋商文件内容，其他内容由</w:t>
      </w:r>
      <w:r>
        <w:rPr>
          <w:rFonts w:ascii="仿宋_GB2312" w:hAnsi="仿宋_GB2312" w:cs="仿宋_GB2312" w:eastAsia="仿宋_GB2312"/>
        </w:rPr>
        <w:t>横信项目管理有限公司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汉中市南郑区小南海镇人民政府</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横信项目管理有限公司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合同约定</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横信项目管理有限公司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横信项目管理有限公司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横信项目管理有限公司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联系人：李女士</w:t>
      </w:r>
    </w:p>
    <w:p>
      <w:pPr>
        <w:pStyle w:val="null3"/>
      </w:pPr>
      <w:r>
        <w:rPr>
          <w:rFonts w:ascii="仿宋_GB2312" w:hAnsi="仿宋_GB2312" w:cs="仿宋_GB2312" w:eastAsia="仿宋_GB2312"/>
        </w:rPr>
        <w:t>联系电话：18309161539</w:t>
      </w:r>
    </w:p>
    <w:p>
      <w:pPr>
        <w:pStyle w:val="null3"/>
      </w:pPr>
      <w:r>
        <w:rPr>
          <w:rFonts w:ascii="仿宋_GB2312" w:hAnsi="仿宋_GB2312" w:cs="仿宋_GB2312" w:eastAsia="仿宋_GB2312"/>
        </w:rPr>
        <w:t>地址：陕西省西安市经济技术开发区首创国际城八期 64栋楼 307室</w:t>
      </w:r>
    </w:p>
    <w:p>
      <w:pPr>
        <w:pStyle w:val="null3"/>
      </w:pPr>
      <w:r>
        <w:rPr>
          <w:rFonts w:ascii="仿宋_GB2312" w:hAnsi="仿宋_GB2312" w:cs="仿宋_GB2312" w:eastAsia="仿宋_GB2312"/>
        </w:rPr>
        <w:t>邮编：710018</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1,450,000.00</w:t>
      </w:r>
    </w:p>
    <w:p>
      <w:pPr>
        <w:pStyle w:val="null3"/>
      </w:pPr>
      <w:r>
        <w:rPr>
          <w:rFonts w:ascii="仿宋_GB2312" w:hAnsi="仿宋_GB2312" w:cs="仿宋_GB2312" w:eastAsia="仿宋_GB2312"/>
        </w:rPr>
        <w:t>采购包最高限价（元）: 1,395,284.00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2025年南郑区小南海镇回军坝村道路硬化革命老区项目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1,450,000.00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标的名称：2025年南郑区小南海镇回军坝村道路硬化革命老区项目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1.建设内容：该项目位于小南海回军坝村，路线起点位于回军坝村蒋家坝、与旧水泥路相接，终点位于回军坝村席家坪，路线全长2.4公里。路面结构组合（自上而下）为：18cm4.0MPa水泥混凝土面层和16cm2.5Mpa水泥稳定山砂基层。</w:t>
            </w:r>
          </w:p>
          <w:p>
            <w:pPr>
              <w:pStyle w:val="null3"/>
            </w:pPr>
            <w:r>
              <w:rPr>
                <w:rFonts w:ascii="仿宋_GB2312" w:hAnsi="仿宋_GB2312" w:cs="仿宋_GB2312" w:eastAsia="仿宋_GB2312"/>
              </w:rPr>
              <w:t>2.质量目标：合格</w:t>
            </w:r>
          </w:p>
          <w:p>
            <w:pPr>
              <w:pStyle w:val="null3"/>
            </w:pPr>
            <w:r>
              <w:rPr>
                <w:rFonts w:ascii="仿宋_GB2312" w:hAnsi="仿宋_GB2312" w:cs="仿宋_GB2312" w:eastAsia="仿宋_GB2312"/>
              </w:rPr>
              <w:t>3.质保期：2年</w:t>
            </w:r>
          </w:p>
          <w:p>
            <w:pPr>
              <w:pStyle w:val="null3"/>
            </w:pPr>
            <w:r>
              <w:rPr>
                <w:rFonts w:ascii="仿宋_GB2312" w:hAnsi="仿宋_GB2312" w:cs="仿宋_GB2312" w:eastAsia="仿宋_GB2312"/>
              </w:rPr>
              <w:t>4.工期：90日历天</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的能力：供应商为具有独立承担民事责任能力的企业法人、事业法人、其他组织，提供营业执照原件（事业单位须事业单位法人证、组织机构代码证等证明文件；其他组织应提供合法证明文件）；</w:t>
            </w:r>
          </w:p>
        </w:tc>
        <w:tc>
          <w:tcPr>
            <w:tcW w:type="dxa" w:w="3322"/>
          </w:tcPr>
          <w:p>
            <w:pPr>
              <w:pStyle w:val="null3"/>
            </w:pPr>
            <w:r>
              <w:rPr>
                <w:rFonts w:ascii="仿宋_GB2312" w:hAnsi="仿宋_GB2312" w:cs="仿宋_GB2312" w:eastAsia="仿宋_GB2312"/>
              </w:rPr>
              <w:t>具有独立承担民事责任的能力：供应商为具有独立承担民事责任能力的企业法人、事业法人、其他组织，提供营业执照原件（事业单位须事业单位法人证、组织机构代码证等证明文件；其他组织应提供合法证明文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供应商具有行政主管部门核发的公路工程施工总承包三级（含三级）及以上资质，且具有有效的安全生产许可证；</w:t>
            </w:r>
          </w:p>
        </w:tc>
        <w:tc>
          <w:tcPr>
            <w:tcW w:type="dxa" w:w="3322"/>
          </w:tcPr>
          <w:p>
            <w:pPr>
              <w:pStyle w:val="null3"/>
            </w:pPr>
            <w:r>
              <w:rPr>
                <w:rFonts w:ascii="仿宋_GB2312" w:hAnsi="仿宋_GB2312" w:cs="仿宋_GB2312" w:eastAsia="仿宋_GB2312"/>
              </w:rPr>
              <w:t>供应商具有行政主管部门核发的公路工程施工总承包三级（含三级）及以上资质，且具有有效的安全生产许可证；</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拟派项目经理须具备公路工程专业二级（含二级）以上注册建造师资格和安全生产考核合格B证，且无在建项目；</w:t>
            </w:r>
          </w:p>
        </w:tc>
        <w:tc>
          <w:tcPr>
            <w:tcW w:type="dxa" w:w="3322"/>
          </w:tcPr>
          <w:p>
            <w:pPr>
              <w:pStyle w:val="null3"/>
            </w:pPr>
            <w:r>
              <w:rPr>
                <w:rFonts w:ascii="仿宋_GB2312" w:hAnsi="仿宋_GB2312" w:cs="仿宋_GB2312" w:eastAsia="仿宋_GB2312"/>
              </w:rPr>
              <w:t>拟派项目经理须具备公路工程专业二级（含二级）以上注册建造师资格和安全生产考核合格B证，且无在建项目；</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须具有健全的财务会计制度、具有履行合同所必需的设备和专业技术能力、具有依法缴纳税收和社会保障资金的良好记录，以及参加本项目采购活动前三年内在经营活动中无重大违法活动记录，供应商提供《汉中市政府采购供应商资格承诺函》；</w:t>
            </w:r>
          </w:p>
        </w:tc>
        <w:tc>
          <w:tcPr>
            <w:tcW w:type="dxa" w:w="3322"/>
          </w:tcPr>
          <w:p>
            <w:pPr>
              <w:pStyle w:val="null3"/>
            </w:pPr>
            <w:r>
              <w:rPr>
                <w:rFonts w:ascii="仿宋_GB2312" w:hAnsi="仿宋_GB2312" w:cs="仿宋_GB2312" w:eastAsia="仿宋_GB2312"/>
              </w:rPr>
              <w:t>供应商须具有健全的财务会计制度、具有履行合同所必需的设备和专业技术能力、具有依法缴纳税收和社会保障资金的良好记录，以及参加本项目采购活动前三年内在经营活动中无重大违法活动记录，供应商提供《汉中市政府采购供应商资格承诺函》；</w:t>
            </w:r>
          </w:p>
        </w:tc>
        <w:tc>
          <w:tcPr>
            <w:tcW w:type="dxa" w:w="1661"/>
          </w:tcPr>
          <w:p>
            <w:pPr>
              <w:pStyle w:val="null3"/>
            </w:pPr>
            <w:r>
              <w:rPr>
                <w:rFonts w:ascii="仿宋_GB2312" w:hAnsi="仿宋_GB2312" w:cs="仿宋_GB2312" w:eastAsia="仿宋_GB2312"/>
              </w:rPr>
              <w:t>技术服务合同条款及其他商务要求应答表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供应商应授权合法的人员参加磋商会议，其中法定代表人直接参加的，须出具法人身份证原件，并与营业执照上信息一致；授权代表参加的，须出具法定代表人授权书及被授权人身份证原件；</w:t>
            </w:r>
          </w:p>
        </w:tc>
        <w:tc>
          <w:tcPr>
            <w:tcW w:type="dxa" w:w="3322"/>
          </w:tcPr>
          <w:p>
            <w:pPr>
              <w:pStyle w:val="null3"/>
            </w:pPr>
            <w:r>
              <w:rPr>
                <w:rFonts w:ascii="仿宋_GB2312" w:hAnsi="仿宋_GB2312" w:cs="仿宋_GB2312" w:eastAsia="仿宋_GB2312"/>
              </w:rPr>
              <w:t>供应商应授权合法的人员参加磋商会议，其中法定代表人直接参加的，须出具法人身份证原件，并与营业执照上信息一致；授权代表参加的，须出具法定代表人授权书及被授权人身份证原件；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本项目不接受联合体磋商；单位负责人为同一人或者存在控股、管理关系的不同单位不得同时参加本次磋商活动；</w:t>
            </w:r>
          </w:p>
        </w:tc>
        <w:tc>
          <w:tcPr>
            <w:tcW w:type="dxa" w:w="3322"/>
          </w:tcPr>
          <w:p>
            <w:pPr>
              <w:pStyle w:val="null3"/>
            </w:pPr>
            <w:r>
              <w:rPr>
                <w:rFonts w:ascii="仿宋_GB2312" w:hAnsi="仿宋_GB2312" w:cs="仿宋_GB2312" w:eastAsia="仿宋_GB2312"/>
              </w:rPr>
              <w:t>本项目不接受联合体磋商；单位负责人为同一人或者存在控股、管理关系的不同单位不得同时参加本次磋商活动；</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本项目专门面向中小企业采购</w:t>
            </w:r>
          </w:p>
        </w:tc>
        <w:tc>
          <w:tcPr>
            <w:tcW w:type="dxa" w:w="3322"/>
          </w:tcPr>
          <w:p>
            <w:pPr>
              <w:pStyle w:val="null3"/>
            </w:pPr>
            <w:r>
              <w:rPr>
                <w:rFonts w:ascii="仿宋_GB2312" w:hAnsi="仿宋_GB2312" w:cs="仿宋_GB2312" w:eastAsia="仿宋_GB2312"/>
              </w:rPr>
              <w:t>本项目专门面向中小企业采购</w:t>
            </w:r>
          </w:p>
        </w:tc>
        <w:tc>
          <w:tcPr>
            <w:tcW w:type="dxa" w:w="1661"/>
          </w:tcPr>
          <w:p>
            <w:pPr>
              <w:pStyle w:val="null3"/>
            </w:pPr>
            <w:r>
              <w:rPr>
                <w:rFonts w:ascii="仿宋_GB2312" w:hAnsi="仿宋_GB2312" w:cs="仿宋_GB2312" w:eastAsia="仿宋_GB2312"/>
              </w:rPr>
              <w:t>中小企业声明函 残疾人福利性单位声明函 供应商应提交的相关资格证明材料 监狱企业的证明文件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提供磋商保证金缴纳凭证</w:t>
            </w:r>
          </w:p>
        </w:tc>
        <w:tc>
          <w:tcPr>
            <w:tcW w:type="dxa" w:w="3322"/>
          </w:tcPr>
          <w:p>
            <w:pPr>
              <w:pStyle w:val="null3"/>
            </w:pPr>
            <w:r>
              <w:rPr>
                <w:rFonts w:ascii="仿宋_GB2312" w:hAnsi="仿宋_GB2312" w:cs="仿宋_GB2312" w:eastAsia="仿宋_GB2312"/>
              </w:rPr>
              <w:t>提供磋商保证金缴纳凭证</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 技术服务合同条款及其他商务要求应答表</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提供详细完整的服务方案。包含但不限于：日常维护，应急响应速度及措施，质量保证承诺等进行综合赋分，方案详实充分，根据响应情况赋分0-5分，未提供的不计分。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供应商提供2022年至今完成类似项目业绩，每提供1个业绩得2.5分，此项最高得5分；（注：业绩评审需提供项目中标通知书及施工合同复印件，缺一无效）</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类似业绩情况表</w:t>
            </w:r>
          </w:p>
        </w:tc>
      </w:tr>
      <w:tr>
        <w:tc>
          <w:tcPr>
            <w:tcW w:type="dxa" w:w="831"/>
            <w:vMerge/>
          </w:tcP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针对本项目提供科学、可行、合理的施工方案； （一般0-2分，良2.1-6分；优6.1-10分）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施工方案</w:t>
            </w:r>
          </w:p>
        </w:tc>
      </w:tr>
      <w:tr>
        <w:tc>
          <w:tcPr>
            <w:tcW w:type="dxa" w:w="831"/>
            <w:vMerge/>
          </w:tcPr>
          <w:p/>
        </w:tc>
        <w:tc>
          <w:tcPr>
            <w:tcW w:type="dxa" w:w="1661"/>
          </w:tcPr>
          <w:p>
            <w:pPr>
              <w:pStyle w:val="null3"/>
            </w:pPr>
            <w:r>
              <w:rPr>
                <w:rFonts w:ascii="仿宋_GB2312" w:hAnsi="仿宋_GB2312" w:cs="仿宋_GB2312" w:eastAsia="仿宋_GB2312"/>
              </w:rPr>
              <w:t>施工质量保证措施</w:t>
            </w:r>
          </w:p>
        </w:tc>
        <w:tc>
          <w:tcPr>
            <w:tcW w:type="dxa" w:w="2492"/>
          </w:tcPr>
          <w:p>
            <w:pPr>
              <w:pStyle w:val="null3"/>
            </w:pPr>
            <w:r>
              <w:rPr>
                <w:rFonts w:ascii="仿宋_GB2312" w:hAnsi="仿宋_GB2312" w:cs="仿宋_GB2312" w:eastAsia="仿宋_GB2312"/>
              </w:rPr>
              <w:t>措施科学、合理、可行；（一般0-2分，良2.1-6分；优6.1-10分）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施工质量保证措施</w:t>
            </w:r>
          </w:p>
        </w:tc>
      </w:tr>
      <w:tr>
        <w:tc>
          <w:tcPr>
            <w:tcW w:type="dxa" w:w="831"/>
            <w:vMerge/>
          </w:tcPr>
          <w:p/>
        </w:tc>
        <w:tc>
          <w:tcPr>
            <w:tcW w:type="dxa" w:w="1661"/>
          </w:tcPr>
          <w:p>
            <w:pPr>
              <w:pStyle w:val="null3"/>
            </w:pPr>
            <w:r>
              <w:rPr>
                <w:rFonts w:ascii="仿宋_GB2312" w:hAnsi="仿宋_GB2312" w:cs="仿宋_GB2312" w:eastAsia="仿宋_GB2312"/>
              </w:rPr>
              <w:t>施工安全保证措施</w:t>
            </w:r>
          </w:p>
        </w:tc>
        <w:tc>
          <w:tcPr>
            <w:tcW w:type="dxa" w:w="2492"/>
          </w:tcPr>
          <w:p>
            <w:pPr>
              <w:pStyle w:val="null3"/>
            </w:pPr>
            <w:r>
              <w:rPr>
                <w:rFonts w:ascii="仿宋_GB2312" w:hAnsi="仿宋_GB2312" w:cs="仿宋_GB2312" w:eastAsia="仿宋_GB2312"/>
              </w:rPr>
              <w:t>措施科学、合理、可行；（一般0-2分，良2.1-6分；优6.1-10分）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施工安全保证措施</w:t>
            </w:r>
          </w:p>
        </w:tc>
      </w:tr>
      <w:tr>
        <w:tc>
          <w:tcPr>
            <w:tcW w:type="dxa" w:w="831"/>
            <w:vMerge/>
          </w:tcPr>
          <w:p/>
        </w:tc>
        <w:tc>
          <w:tcPr>
            <w:tcW w:type="dxa" w:w="1661"/>
          </w:tcPr>
          <w:p>
            <w:pPr>
              <w:pStyle w:val="null3"/>
            </w:pPr>
            <w:r>
              <w:rPr>
                <w:rFonts w:ascii="仿宋_GB2312" w:hAnsi="仿宋_GB2312" w:cs="仿宋_GB2312" w:eastAsia="仿宋_GB2312"/>
              </w:rPr>
              <w:t>施工进度计划及工期保证措施</w:t>
            </w:r>
          </w:p>
        </w:tc>
        <w:tc>
          <w:tcPr>
            <w:tcW w:type="dxa" w:w="2492"/>
          </w:tcPr>
          <w:p>
            <w:pPr>
              <w:pStyle w:val="null3"/>
            </w:pPr>
            <w:r>
              <w:rPr>
                <w:rFonts w:ascii="仿宋_GB2312" w:hAnsi="仿宋_GB2312" w:cs="仿宋_GB2312" w:eastAsia="仿宋_GB2312"/>
              </w:rPr>
              <w:t>措施科学、合理、可行；（一般0-2分，良2.1-5分；优5.1-8分）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施工进度计划及工期保证措施</w:t>
            </w:r>
          </w:p>
        </w:tc>
      </w:tr>
      <w:tr>
        <w:tc>
          <w:tcPr>
            <w:tcW w:type="dxa" w:w="831"/>
            <w:vMerge/>
          </w:tcPr>
          <w:p/>
        </w:tc>
        <w:tc>
          <w:tcPr>
            <w:tcW w:type="dxa" w:w="1661"/>
          </w:tcPr>
          <w:p>
            <w:pPr>
              <w:pStyle w:val="null3"/>
            </w:pPr>
            <w:r>
              <w:rPr>
                <w:rFonts w:ascii="仿宋_GB2312" w:hAnsi="仿宋_GB2312" w:cs="仿宋_GB2312" w:eastAsia="仿宋_GB2312"/>
              </w:rPr>
              <w:t>文明施工及环境保护措施</w:t>
            </w:r>
          </w:p>
        </w:tc>
        <w:tc>
          <w:tcPr>
            <w:tcW w:type="dxa" w:w="2492"/>
          </w:tcPr>
          <w:p>
            <w:pPr>
              <w:pStyle w:val="null3"/>
            </w:pPr>
            <w:r>
              <w:rPr>
                <w:rFonts w:ascii="仿宋_GB2312" w:hAnsi="仿宋_GB2312" w:cs="仿宋_GB2312" w:eastAsia="仿宋_GB2312"/>
              </w:rPr>
              <w:t>措施科学、合理、可行；（一般0-2分，良2.1-6分；优6.1-10分）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文明施工及环境保护措施</w:t>
            </w:r>
          </w:p>
        </w:tc>
      </w:tr>
      <w:tr>
        <w:tc>
          <w:tcPr>
            <w:tcW w:type="dxa" w:w="831"/>
            <w:vMerge/>
          </w:tcPr>
          <w:p/>
        </w:tc>
        <w:tc>
          <w:tcPr>
            <w:tcW w:type="dxa" w:w="1661"/>
          </w:tcPr>
          <w:p>
            <w:pPr>
              <w:pStyle w:val="null3"/>
            </w:pPr>
            <w:r>
              <w:rPr>
                <w:rFonts w:ascii="仿宋_GB2312" w:hAnsi="仿宋_GB2312" w:cs="仿宋_GB2312" w:eastAsia="仿宋_GB2312"/>
              </w:rPr>
              <w:t>主要机械设备</w:t>
            </w:r>
          </w:p>
        </w:tc>
        <w:tc>
          <w:tcPr>
            <w:tcW w:type="dxa" w:w="2492"/>
          </w:tcPr>
          <w:p>
            <w:pPr>
              <w:pStyle w:val="null3"/>
            </w:pPr>
            <w:r>
              <w:rPr>
                <w:rFonts w:ascii="仿宋_GB2312" w:hAnsi="仿宋_GB2312" w:cs="仿宋_GB2312" w:eastAsia="仿宋_GB2312"/>
              </w:rPr>
              <w:t>机械设备配备齐全、科学、合理；（一般0-2分，良2.1-5优5.1-7分）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主要机械设备</w:t>
            </w:r>
          </w:p>
        </w:tc>
      </w:tr>
      <w:tr>
        <w:tc>
          <w:tcPr>
            <w:tcW w:type="dxa" w:w="831"/>
            <w:vMerge/>
          </w:tcPr>
          <w:p/>
        </w:tc>
        <w:tc>
          <w:tcPr>
            <w:tcW w:type="dxa" w:w="1661"/>
          </w:tcPr>
          <w:p>
            <w:pPr>
              <w:pStyle w:val="null3"/>
            </w:pPr>
            <w:r>
              <w:rPr>
                <w:rFonts w:ascii="仿宋_GB2312" w:hAnsi="仿宋_GB2312" w:cs="仿宋_GB2312" w:eastAsia="仿宋_GB2312"/>
              </w:rPr>
              <w:t>项目拟派人员安排</w:t>
            </w:r>
          </w:p>
        </w:tc>
        <w:tc>
          <w:tcPr>
            <w:tcW w:type="dxa" w:w="2492"/>
          </w:tcPr>
          <w:p>
            <w:pPr>
              <w:pStyle w:val="null3"/>
            </w:pPr>
            <w:r>
              <w:rPr>
                <w:rFonts w:ascii="仿宋_GB2312" w:hAnsi="仿宋_GB2312" w:cs="仿宋_GB2312" w:eastAsia="仿宋_GB2312"/>
              </w:rPr>
              <w:t>组织结构完整，人员配置合理，职责明确；（一般0-2分，良2.1-4分，优4.1-5分）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人员配备情况表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1、满足磋商文件要求且磋商响应最低的报价（最后的响应报价）为评标基准价，其价格分为满分。其他磋商供应商的价格分统一按照下列公式计算：磋商报价得分=（评标基准价/评标报价）×30； 2、注:评审小组二分之一以上专家认为某投标报价有低于成本价嫌疑的，且供应商无法证明其价格合理性的，为无效报价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详见附件：类似业绩情况表</w:t>
      </w:r>
    </w:p>
    <w:p>
      <w:pPr>
        <w:pStyle w:val="null3"/>
        <w:ind w:firstLine="960"/>
      </w:pPr>
      <w:r>
        <w:rPr>
          <w:rFonts w:ascii="仿宋_GB2312" w:hAnsi="仿宋_GB2312" w:cs="仿宋_GB2312" w:eastAsia="仿宋_GB2312"/>
        </w:rPr>
        <w:t>详见附件：施工方案</w:t>
      </w:r>
    </w:p>
    <w:p>
      <w:pPr>
        <w:pStyle w:val="null3"/>
        <w:ind w:firstLine="960"/>
      </w:pPr>
      <w:r>
        <w:rPr>
          <w:rFonts w:ascii="仿宋_GB2312" w:hAnsi="仿宋_GB2312" w:cs="仿宋_GB2312" w:eastAsia="仿宋_GB2312"/>
        </w:rPr>
        <w:t>详见附件：施工安全保证措施</w:t>
      </w:r>
    </w:p>
    <w:p>
      <w:pPr>
        <w:pStyle w:val="null3"/>
        <w:ind w:firstLine="960"/>
      </w:pPr>
      <w:r>
        <w:rPr>
          <w:rFonts w:ascii="仿宋_GB2312" w:hAnsi="仿宋_GB2312" w:cs="仿宋_GB2312" w:eastAsia="仿宋_GB2312"/>
        </w:rPr>
        <w:t>详见附件：施工进度计划及工期保证措施</w:t>
      </w:r>
    </w:p>
    <w:p>
      <w:pPr>
        <w:pStyle w:val="null3"/>
        <w:ind w:firstLine="960"/>
      </w:pPr>
      <w:r>
        <w:rPr>
          <w:rFonts w:ascii="仿宋_GB2312" w:hAnsi="仿宋_GB2312" w:cs="仿宋_GB2312" w:eastAsia="仿宋_GB2312"/>
        </w:rPr>
        <w:t>详见附件：文明施工及环境保护措施</w:t>
      </w:r>
    </w:p>
    <w:p>
      <w:pPr>
        <w:pStyle w:val="null3"/>
        <w:ind w:firstLine="960"/>
      </w:pPr>
      <w:r>
        <w:rPr>
          <w:rFonts w:ascii="仿宋_GB2312" w:hAnsi="仿宋_GB2312" w:cs="仿宋_GB2312" w:eastAsia="仿宋_GB2312"/>
        </w:rPr>
        <w:t>详见附件：主要机械设备</w:t>
      </w:r>
    </w:p>
    <w:p>
      <w:pPr>
        <w:pStyle w:val="null3"/>
        <w:ind w:firstLine="960"/>
      </w:pPr>
      <w:r>
        <w:rPr>
          <w:rFonts w:ascii="仿宋_GB2312" w:hAnsi="仿宋_GB2312" w:cs="仿宋_GB2312" w:eastAsia="仿宋_GB2312"/>
        </w:rPr>
        <w:t>详见附件：人员配备情况表</w:t>
      </w:r>
    </w:p>
    <w:p>
      <w:pPr>
        <w:pStyle w:val="null3"/>
        <w:ind w:firstLine="960"/>
      </w:pPr>
      <w:r>
        <w:rPr>
          <w:rFonts w:ascii="仿宋_GB2312" w:hAnsi="仿宋_GB2312" w:cs="仿宋_GB2312" w:eastAsia="仿宋_GB2312"/>
        </w:rPr>
        <w:t>详见附件：施工质量保证措施</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