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版本号：ZJHZ-ZC25003320250731001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南郑区2024年日常及年度变更调查工作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ZJHZ-ZC250033</w:t>
      </w:r>
      <w:r>
        <w:br/>
      </w:r>
      <w:r>
        <w:br/>
      </w:r>
      <w:r>
        <w:br/>
      </w:r>
    </w:p>
    <w:p>
      <w:pPr>
        <w:pStyle w:val="null3"/>
        <w:jc w:val="center"/>
        <w:outlineLvl w:val="2"/>
      </w:pPr>
      <w:r>
        <w:rPr>
          <w:rFonts w:ascii="仿宋_GB2312" w:hAnsi="仿宋_GB2312" w:cs="仿宋_GB2312" w:eastAsia="仿宋_GB2312"/>
          <w:sz w:val="28"/>
          <w:b/>
        </w:rPr>
        <w:t>汉中市自然资源局南郑分局</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汉中市自然资源局南郑分局</w:t>
      </w:r>
      <w:r>
        <w:rPr>
          <w:rFonts w:ascii="仿宋_GB2312" w:hAnsi="仿宋_GB2312" w:cs="仿宋_GB2312" w:eastAsia="仿宋_GB2312"/>
        </w:rPr>
        <w:t>委托，拟对</w:t>
      </w:r>
      <w:r>
        <w:rPr>
          <w:rFonts w:ascii="仿宋_GB2312" w:hAnsi="仿宋_GB2312" w:cs="仿宋_GB2312" w:eastAsia="仿宋_GB2312"/>
        </w:rPr>
        <w:t>南郑区2024年日常及年度变更调查工作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南郑区2024年日常及年度变更调查工作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2024年国土变更调查工作，包含日常国土变更调查、年度国土变更调查及耕地资源分区分类评价;主要功能或目标:全面掌握本年度全区国士利用变化情况，进步夯实国土调查成果作为自然资源管理工作底数、底版和底图的工作基础，有效支撑高质量发展和国土空间治理现代化;需满足的要求:按要求进行土壤样点采集、检测化验、数据库建设等工作，全面掌握年度内耕地质量变化情况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采购包1（南郑区2024年日常及年度变更调查工作）：属于专门面向中小企业采购。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投标的，须出具法人身份证(附法定代表人身份证复印件);法定代表人授权代表参加投标的，须出具法定代表人授权书及授权代表身份证(附法定代表人身份证复印件及被授权人身份证复印件)。：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4、供应商须具备行政主管部门颁发的测绘乙级及以上资质。：供应商须具备行政主管部门颁发的测绘乙级及以上资质。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汉中市自然资源局南郑分局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陕西省汉中市南郑区汉山街道办南环路3号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0916-5512351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代理服务费收费标准：参照国家计委(计价格【2002】1980号)《招标代理服务收费管理暂行办法》和国家发展改革委办公厅发改办价格【2003】857号、【2011】534号规定的收费标准收取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汉中市自然资源局南郑分局</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汉中市自然资源局南郑分局</w:t>
      </w:r>
      <w:r>
        <w:rPr>
          <w:rFonts w:ascii="仿宋_GB2312" w:hAnsi="仿宋_GB2312" w:cs="仿宋_GB2312" w:eastAsia="仿宋_GB2312"/>
        </w:rPr>
        <w:t>负责解释。除上述招标文件内容，其他内容由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汉中市自然资源局南郑分局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满足采购人工作需求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2024年国土变更调查工作，包含日常国土变更调查、年度国土变更调查及耕地资源分区分类评价;主要功能或目标:全面掌握本年度全区国士利用变化情况，进步夯实国土调查成果作为自然资源管理工作底数、底版和底图的工作基础，有效支撑高质量发展和国土空间治理现代化;需满足的要求:按要求进行土壤样点采集、检测化验、数据库建设等工作，全面掌握年度内耕地质量变化情况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2,090,000.00</w:t>
      </w:r>
    </w:p>
    <w:p>
      <w:pPr>
        <w:pStyle w:val="null3"/>
      </w:pPr>
      <w:r>
        <w:rPr>
          <w:rFonts w:ascii="仿宋_GB2312" w:hAnsi="仿宋_GB2312" w:cs="仿宋_GB2312" w:eastAsia="仿宋_GB2312"/>
        </w:rPr>
        <w:t>采购包最高限价（元）: 2,090,000.00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南郑区2024年日常及年度变更调查工作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标的名称：南郑区2024年日常及年度变更调查工作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2024年国土变更调查工作，包含日常国土变更调查、年度国土变更调查及耕地资源分区分类评价;主要功能或目标:全面掌握本年度全区国士利用变化情况，进步夯实国土调查成果作为自然资源管理工作底数、底版和底图的工作基础，有效支撑高质量发展和国土空间治理现代化;需满足的要求:按要求进行土壤样点采集、检测化验、数据库建设等工作，全面掌握年度内耕地质量变化情况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服务期：合同签订后60日历天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符合相关标准要求并通过专家验收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完成全部工作后，经采购人初步评审合格后，数据汇交省级</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待数据完全提交国家平台后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落实政府采购政策需满足的资格要求： （1）《国务院办公厅关于建立政府强制采购节能产品制度的通知》（国办发〔2007〕51号）； （2）《财政部 司法部关于政府采购支持监狱企业发展有关问题的通知》（财库〔2014〕68号）； （3）《财政部、民政部、中国残疾人联合会关于促进残疾人就业政府采购政策的通知》（财库〔2017〕141号）；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（7）《陕西省财政厅关于印发&lt;陕西省中小企业政府采购信用融资办法&gt;的通知》（陕财办采〔2018〕23 号； （8）陕西省财政厅《关于加快推进我省中小企业政府采购信用融资工作的通知》（陕财办采〔2020〕15号）； （9）陕西省财政厅《关于进一步加强政府绿色采购有关问题的通知》（陕财办采〔2021〕29号）； （10）《陕西省财政厅关于落实政府采购支持中小企业政策有关事项的通知》陕财办采函〔2022〕10号； （11）《关于进一步加大政府采购支持中小企业力度的通知》（财库〔2022〕19号； （12）《关于扩大政府采购支持绿色建材促进建筑品质提升政策实施范围的通知》财库〔2022〕35号； （13）《陕西省财政厅关于进一步落实政府采购支持中小企业相关政策的通知》陕财办采〔2023〕3号； （14）《陕西省财政厅关于进一步优化政府采购营商环境有关事项的通知》陕财办采〔2023〕4号； （15）其他需要落实的政府采购政策。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供应商须具备行政主管部门颁发的测绘乙级及以上资质。</w:t>
            </w:r>
          </w:p>
        </w:tc>
        <w:tc>
          <w:tcPr>
            <w:tcW w:type="dxa" w:w="3322"/>
          </w:tcPr>
          <w:p>
            <w:pPr>
              <w:pStyle w:val="null3"/>
            </w:pPr>
            <w:r>
              <w:rPr>
                <w:rFonts w:ascii="仿宋_GB2312" w:hAnsi="仿宋_GB2312" w:cs="仿宋_GB2312" w:eastAsia="仿宋_GB2312"/>
              </w:rPr>
              <w:t>供应商须具备行政主管部门颁发的测绘乙级及以上资质。</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投标人应提交的相关资格证明材料.pdf 服务内容及服务邀请应答表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根据供应商提供的项目专业技术方案进行综合审核，要求内容准确、全面，技术先进，思路清晰，逻辑严密，符合相关规范及地方法规要求，有较强的指导性及可操作性： (1)总体方案详细、思路清晰，可行性高，对项目方向的理解准确、针对性强，与采购内容及要求契合度高，得16.1-25分； (2)总体方案比较详细、思路较清晰，基本可行，对项目方向的理解较准确、针对性较强，与采购内容及要求契合度较高，得8.1-16分； (3)总体方案合理性、可行性较差，对项目方向的理解不准确，与采购内容及要求契合度低，得0-8分；无内容不得分。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 （1）措施详细完整、可行性、针对性强，能高质量的确保项目服务质量，得6.1-10分； （2）保障措施相对完整，有一定的可行性及针对性以保证项目质量，得3.1-6分； （3）保障措施简略、可行性存在不足，得0-3分；无内容不得分。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提供项目实施的进度安排及按时完成工作内容的保证措施。 （1）措施科学、合理、有效，措施到位，针对性完全满足采购需求；得6.1-10分； （2）措施基本科学合理，措施基本到位，可以基本满足本项目的服务需求，但个别细节需进一步完善或提高；得3.1-6分； （3）措施针对性不强，得0-3分；无内容不得分。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针对服务过程中各类突发事件提供应急响应方案。 （1）预案详细完整、可行性、针对性强，能高质量的确保项目服务质量，得3.1-5分； （2）预案相对完整，有一定的可行性及针对性以保证项目质量，得0-3分；无内容不得分。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数据管理措施</w:t>
            </w:r>
          </w:p>
        </w:tc>
        <w:tc>
          <w:tcPr>
            <w:tcW w:type="dxa" w:w="2492"/>
          </w:tcPr>
          <w:p>
            <w:pPr>
              <w:pStyle w:val="null3"/>
            </w:pPr>
            <w:r>
              <w:rPr>
                <w:rFonts w:ascii="仿宋_GB2312" w:hAnsi="仿宋_GB2312" w:cs="仿宋_GB2312" w:eastAsia="仿宋_GB2312"/>
              </w:rPr>
              <w:t>针对本项目实际，制定适宜的数据管理措施。 （1）措施全面、合理、规范，可操作性强，得4.1-6分； （2）措施基本合理，有一定的可操作性，得2.1-4分； （3）措施不太合理，可操作性不强，得0-2分；无内容不得分。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具有科学、合理、可行的保密措施，保证相关信息不被泄漏。 （1）保密措施内容完善、合理、可行，得3.1-4分； （2）保密措施内容基本完善合理，得2.1-3分， （3）保密措施简略，可操作性一般得0-2分；无内容不得分。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拟投入本项目实施服务人员</w:t>
            </w:r>
          </w:p>
        </w:tc>
        <w:tc>
          <w:tcPr>
            <w:tcW w:type="dxa" w:w="2492"/>
          </w:tcPr>
          <w:p>
            <w:pPr>
              <w:pStyle w:val="null3"/>
            </w:pPr>
            <w:r>
              <w:rPr>
                <w:rFonts w:ascii="仿宋_GB2312" w:hAnsi="仿宋_GB2312" w:cs="仿宋_GB2312" w:eastAsia="仿宋_GB2312"/>
              </w:rPr>
              <w:t>（1）项目负责人具有测绘类专业技术高级职称得1分，具有注册测绘师得1分； （2）拟投入其他人员具有测绘类中级及以上职称每人0.5分，最高得6分； 注：人员须提供本单位近一年连续三个月社保证明、不提供不得分。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拟投入本项目相关仪器设备</w:t>
            </w:r>
          </w:p>
        </w:tc>
        <w:tc>
          <w:tcPr>
            <w:tcW w:type="dxa" w:w="2492"/>
          </w:tcPr>
          <w:p>
            <w:pPr>
              <w:pStyle w:val="null3"/>
            </w:pPr>
            <w:r>
              <w:rPr>
                <w:rFonts w:ascii="仿宋_GB2312" w:hAnsi="仿宋_GB2312" w:cs="仿宋_GB2312" w:eastAsia="仿宋_GB2312"/>
              </w:rPr>
              <w:t>根据投入的具有符合项目实施要求的仪器设备，提供仪器设备一览表，从仪器设备数量、类别进行评审。 （1）设备数量充足，能够完全满足项目需要，得3.1-6分； （2）设备数量基本满足要求，得0-3分；无内容不得分。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各供应商应完整、准确地表述出针对本次项目的服务承诺（包含针对本项目的服务质量目标、服务期限及服务过程中的人员到岗情况等） （1）承诺科学、合理、有效，到位，针对性完全满足服务需求；得4.1-8分； （2）承诺基本科学合理，基本到位，可以基本满足本项目的服务需求，但个别细节需进一步完善或提高；得0-4分；无内容不得分。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供应商提供2022年1月至今类似项目业绩，每提供一个得2分，最高得8分，未提供不得分。（提供合同及中标通知书在响应文件中附上述材料复印件并加盖企业鲜章）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1、满足磋商文件要求的最低响应报价为评标基准价，供应商的价格得分统一按照下列公式计算：磋商报价得分=(评标基准价/响应报价)×10(得分计算结果保留小数点后两位，小数点第三位四舍五入)； 2、本项目为专门面向中小企业项目，专门面向中小企业采购的项目，不再执行价格评审优惠的扶持政策。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