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版本号：2025-(137)1247-0G-(23)6920250711002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汉中市南郑区2025年度农村公路路面自动化检测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2025-(137)1247-0G-(23)69</w:t>
      </w:r>
      <w:r>
        <w:br/>
      </w:r>
      <w:r>
        <w:br/>
      </w:r>
      <w:r>
        <w:br/>
      </w:r>
    </w:p>
    <w:p>
      <w:pPr>
        <w:pStyle w:val="null3"/>
        <w:jc w:val="center"/>
        <w:outlineLvl w:val="2"/>
      </w:pPr>
      <w:r>
        <w:rPr>
          <w:rFonts w:ascii="仿宋_GB2312" w:hAnsi="仿宋_GB2312" w:cs="仿宋_GB2312" w:eastAsia="仿宋_GB2312"/>
          <w:sz w:val="28"/>
          <w:b/>
        </w:rPr>
        <w:t>汉中市南郑区农村公路管理站</w:t>
      </w:r>
    </w:p>
    <w:p>
      <w:pPr>
        <w:pStyle w:val="null3"/>
        <w:jc w:val="center"/>
        <w:outlineLvl w:val="2"/>
      </w:pPr>
      <w:r>
        <w:rPr>
          <w:rFonts w:ascii="仿宋_GB2312" w:hAnsi="仿宋_GB2312" w:cs="仿宋_GB2312" w:eastAsia="仿宋_GB2312"/>
          <w:sz w:val="28"/>
          <w:b/>
        </w:rPr>
        <w:t xml:space="preserve">陕西云恒泰华建设集团有限公司 </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 xml:space="preserve">陕西云恒泰华建设集团有限公司 </w:t>
      </w:r>
      <w:r>
        <w:rPr>
          <w:rFonts w:ascii="仿宋_GB2312" w:hAnsi="仿宋_GB2312" w:cs="仿宋_GB2312" w:eastAsia="仿宋_GB2312"/>
        </w:rPr>
        <w:t>（以下简称“代理机构”）受</w:t>
      </w:r>
      <w:r>
        <w:rPr>
          <w:rFonts w:ascii="仿宋_GB2312" w:hAnsi="仿宋_GB2312" w:cs="仿宋_GB2312" w:eastAsia="仿宋_GB2312"/>
        </w:rPr>
        <w:t>汉中市南郑区农村公路管理站</w:t>
      </w:r>
      <w:r>
        <w:rPr>
          <w:rFonts w:ascii="仿宋_GB2312" w:hAnsi="仿宋_GB2312" w:cs="仿宋_GB2312" w:eastAsia="仿宋_GB2312"/>
        </w:rPr>
        <w:t>委托，拟对</w:t>
      </w:r>
      <w:r>
        <w:rPr>
          <w:rFonts w:ascii="仿宋_GB2312" w:hAnsi="仿宋_GB2312" w:cs="仿宋_GB2312" w:eastAsia="仿宋_GB2312"/>
        </w:rPr>
        <w:t>汉中市南郑区2025年度农村公路路面自动化检测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2025-(137)1247-0G-(23)69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汉中市南郑区2025年度农村公路路面自动化检测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按照汉中市交通运输局《关于组织开展 2025 年度农村公路路面自动化检测工作的通知》（汉市交函〔2025〕136 号）的要求，我区开展辖区内1963公里农村公路路面技术状况自动化检测工作，依据《公路技术状况评定标准》(JTG 5210-2018)、《农村公路技术状况评定标准》(JTG 5211-2024)规定，采用自动化检测设备应对路面破损率DR与国际平整度指数IRI两个指标进行检测，依据检测数据，对路面技术状况指数PQI、路面损坏状况指数PCI、路面行驶质量指数RQI进行评定。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采购包1（汉中市南郑区2025年度农村公路路面自动化检测）：属于专门面向中小企业采购。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供应商授权的参与人员：供应商应授权合法的人员参与磋商，其中法定代表人直接参加磋商的，须出具法定代表人身份证明，并与营业执照上信息一致。法定代表人授权代表参与磋商的，须出具法定代表人授权书、授权代表身份证；供应商需提供相关证件复印件并加盖电子印章。</w:t>
      </w:r>
    </w:p>
    <w:p>
      <w:pPr>
        <w:pStyle w:val="null3"/>
      </w:pPr>
      <w:r>
        <w:rPr>
          <w:rFonts w:ascii="仿宋_GB2312" w:hAnsi="仿宋_GB2312" w:cs="仿宋_GB2312" w:eastAsia="仿宋_GB2312"/>
        </w:rPr>
        <w:t>2、供应商基本情况：具有独立承担民事责任能力的法人、其他组织或自然人，并出具合法有效的营业执照或事业单位法人证书等国家规定的相关证明，自然人参与的提供其身份证明；供应商需提供相关证件复印件并加盖电子印章。</w:t>
      </w:r>
    </w:p>
    <w:p>
      <w:pPr>
        <w:pStyle w:val="null3"/>
      </w:pPr>
      <w:r>
        <w:rPr>
          <w:rFonts w:ascii="仿宋_GB2312" w:hAnsi="仿宋_GB2312" w:cs="仿宋_GB2312" w:eastAsia="仿宋_GB2312"/>
        </w:rPr>
        <w:t>3、汉中市政府采购供应商资格承诺函：供应商须提供《汉中市政府采购供应商资格承诺函》并加盖电子印章。</w:t>
      </w:r>
    </w:p>
    <w:p>
      <w:pPr>
        <w:pStyle w:val="null3"/>
      </w:pPr>
      <w:r>
        <w:rPr>
          <w:rFonts w:ascii="仿宋_GB2312" w:hAnsi="仿宋_GB2312" w:cs="仿宋_GB2312" w:eastAsia="仿宋_GB2312"/>
        </w:rPr>
        <w:t>4、特定资格要求：供应商须具备有效的交通运输部主管部门颁发的公路工程试验检测机构综合乙级及以上（含乙级）资质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汉中市南郑区农村公路管理站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陕西省汉中市南郑区汉山街道办事处东大街39号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汉中市南郑区农村公路管理站经办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09165512466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陕西云恒泰华建设集团有限公司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陕西省汉中市汉台区东关街道办事处盛世国际2号写字楼2205号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0916-2511800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开户名称：陕西云恒泰华建设集团有限公司</w:t>
            </w:r>
          </w:p>
          <w:p>
            <w:pPr>
              <w:pStyle w:val="null3"/>
            </w:pPr>
            <w:r>
              <w:rPr>
                <w:rFonts w:ascii="仿宋_GB2312" w:hAnsi="仿宋_GB2312" w:cs="仿宋_GB2312" w:eastAsia="仿宋_GB2312"/>
              </w:rPr>
              <w:t>开户银行：中国农业银行股份有限公司汉中市汉台区支行营业部</w:t>
            </w:r>
          </w:p>
          <w:p>
            <w:pPr>
              <w:pStyle w:val="null3"/>
            </w:pPr>
            <w:r>
              <w:rPr>
                <w:rFonts w:ascii="仿宋_GB2312" w:hAnsi="仿宋_GB2312" w:cs="仿宋_GB2312" w:eastAsia="仿宋_GB2312"/>
              </w:rPr>
              <w:t>银行账号：26607401040027374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代理服务费收费标准：代理服务费依据国家计委颁发的《关于印发招标代理服务收费管理暂行办法》的通知（计价格〔2002〕1980号），按成交价格的1.5%计取。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汉中市南郑区农村公路管理站</w:t>
      </w:r>
      <w:r>
        <w:rPr>
          <w:rFonts w:ascii="仿宋_GB2312" w:hAnsi="仿宋_GB2312" w:cs="仿宋_GB2312" w:eastAsia="仿宋_GB2312"/>
        </w:rPr>
        <w:t>和</w:t>
      </w:r>
      <w:r>
        <w:rPr>
          <w:rFonts w:ascii="仿宋_GB2312" w:hAnsi="仿宋_GB2312" w:cs="仿宋_GB2312" w:eastAsia="仿宋_GB2312"/>
        </w:rPr>
        <w:t xml:space="preserve">陕西云恒泰华建设集团有限公司 </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汉中市南郑区农村公路管理站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 xml:space="preserve">陕西云恒泰华建设集团有限公司 </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汉中市南郑区农村公路管理站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 xml:space="preserve">陕西云恒泰华建设集团有限公司 </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符合行业标准的检测报告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 xml:space="preserve">陕西云恒泰华建设集团有限公司 </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 xml:space="preserve">陕西云恒泰华建设集团有限公司 </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 xml:space="preserve">陕西云恒泰华建设集团有限公司 </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联系电话：0916-2511800</w:t>
      </w:r>
    </w:p>
    <w:p>
      <w:pPr>
        <w:pStyle w:val="null3"/>
      </w:pPr>
      <w:r>
        <w:rPr>
          <w:rFonts w:ascii="仿宋_GB2312" w:hAnsi="仿宋_GB2312" w:cs="仿宋_GB2312" w:eastAsia="仿宋_GB2312"/>
        </w:rPr>
        <w:t>地址：陕西省汉中市汉台区东关街道办事处盛世国际2号写字楼2205号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按照汉中市交通运输局《关于组织开展 2025 年度农村公路路面自动化检测工作的通知》（汉市交函〔2025〕136号）的要求，我区开展辖区内1963公里农村公路路面技术状况自动化检测工作，依据《公路技术状况评定标准》(JTG 5210-2018)、《农村公路技术状况评定标准》(JTG 5211-2024)规定，采用自动化检测设备应对路面破损率DR与国际平整度指数IRI两个指标进行检测，依据检测数据，对路面技术状况指数PQI、路面损坏状况指数PCI、路面行驶质量指数RQI进行评定。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570,000.00</w:t>
      </w:r>
    </w:p>
    <w:p>
      <w:pPr>
        <w:pStyle w:val="null3"/>
      </w:pPr>
      <w:r>
        <w:rPr>
          <w:rFonts w:ascii="仿宋_GB2312" w:hAnsi="仿宋_GB2312" w:cs="仿宋_GB2312" w:eastAsia="仿宋_GB2312"/>
        </w:rPr>
        <w:t>采购包最高限价（元）: 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汉中市南郑区2025年度农村公路路面自动化检测，共1963公里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标的名称：汉中市南郑区2025年度农村公路路面自动化检测，共1963公里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720"/>
            </w:pPr>
            <w:r>
              <w:rPr>
                <w:rFonts w:ascii="仿宋_GB2312" w:hAnsi="仿宋_GB2312" w:cs="仿宋_GB2312" w:eastAsia="仿宋_GB2312"/>
                <w:sz w:val="28"/>
              </w:rPr>
              <w:t>需要对农村公路路面破损率</w:t>
            </w:r>
            <w:r>
              <w:rPr>
                <w:rFonts w:ascii="仿宋_GB2312" w:hAnsi="仿宋_GB2312" w:cs="仿宋_GB2312" w:eastAsia="仿宋_GB2312"/>
                <w:sz w:val="28"/>
              </w:rPr>
              <w:t>DR与国际平整度指数IRI两个指标进行检测，</w:t>
            </w:r>
            <w:r>
              <w:rPr>
                <w:rFonts w:ascii="仿宋_GB2312" w:hAnsi="仿宋_GB2312" w:cs="仿宋_GB2312" w:eastAsia="仿宋_GB2312"/>
                <w:sz w:val="28"/>
              </w:rPr>
              <w:t>依据检测数据，对路面技术状况指数</w:t>
            </w:r>
            <w:r>
              <w:rPr>
                <w:rFonts w:ascii="仿宋_GB2312" w:hAnsi="仿宋_GB2312" w:cs="仿宋_GB2312" w:eastAsia="仿宋_GB2312"/>
                <w:sz w:val="28"/>
              </w:rPr>
              <w:t>PQI、路面损坏状况指数PCI、路面行驶质量指数RQI进行评定，并形成路面技术状况报告。检测评定成果形成整套电子资料，并制作两套光盘或U盘，与纸质资料一并交采购人（汉中市南郑区农村公路管理站）。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南郑区辖区内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依据检测数据，对路面技术状况指数PQI、路面损坏状况指数PCI、路面行驶质量指数RQI进行评定，同时保存所采集的原始数据、图像等电子档案，并出具符合行业标准的检测报告和养护建议。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检测完成并按照要求提供检测相关资料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2、因甲方未按合同约定履行义务，给乙方造成的经济损失应予赔偿。 3、因甲方责任而造成工程延期的，双方协商确定合同工期的顺延。 4、乙方提供的检测成果质量不合格的，乙方应负责无偿予以重测或更正，以达到质量要求。 5、在执行本合同中发生的或与本合同有关的争端，双方应通过友好协商解决，经协商在30天内不能达成协议时，向甲方所在地有管辖权的人民法院提起诉讼。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供应商授权的参与人员</w:t>
            </w:r>
          </w:p>
        </w:tc>
        <w:tc>
          <w:tcPr>
            <w:tcW w:type="dxa" w:w="3322"/>
          </w:tcPr>
          <w:p>
            <w:pPr>
              <w:pStyle w:val="null3"/>
            </w:pPr>
            <w:r>
              <w:rPr>
                <w:rFonts w:ascii="仿宋_GB2312" w:hAnsi="仿宋_GB2312" w:cs="仿宋_GB2312" w:eastAsia="仿宋_GB2312"/>
              </w:rPr>
              <w:t>供应商应授权合法的人员参与磋商，其中法定代表人直接参加磋商的，须出具法定代表人身份证明，并与营业执照上信息一致。法定代表人授权代表参与磋商的，须出具法定代表人授权书、授权代表身份证；供应商需提供相关证件复印件并加盖电子印章。</w:t>
            </w:r>
          </w:p>
        </w:tc>
        <w:tc>
          <w:tcPr>
            <w:tcW w:type="dxa" w:w="1661"/>
          </w:tcPr>
          <w:p>
            <w:pPr>
              <w:pStyle w:val="null3"/>
            </w:pPr>
            <w:r>
              <w:rPr>
                <w:rFonts w:ascii="仿宋_GB2312" w:hAnsi="仿宋_GB2312" w:cs="仿宋_GB2312" w:eastAsia="仿宋_GB2312"/>
              </w:rPr>
              <w:t>供应商应提交的相关资格证明材料.docx 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具有独立承担民事责任能力的法人、其他组织或自然人，并出具合法有效的营业执照或事业单位法人证书等国家规定的相关证明，自然人参与的提供其身份证明；供应商需提供相关证件复印件并加盖电子印章。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供应商须提供《汉中市政府采购供应商资格承诺函》并加盖电子印章。</w:t>
            </w:r>
          </w:p>
        </w:tc>
        <w:tc>
          <w:tcPr>
            <w:tcW w:type="dxa" w:w="1661"/>
          </w:tcPr>
          <w:p>
            <w:pPr>
              <w:pStyle w:val="null3"/>
            </w:pPr>
            <w:r>
              <w:rPr>
                <w:rFonts w:ascii="仿宋_GB2312" w:hAnsi="仿宋_GB2312" w:cs="仿宋_GB2312" w:eastAsia="仿宋_GB2312"/>
              </w:rPr>
              <w:t>供应商应提交的相关资格证明材料.docx 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供应商须具备有效的交通运输部主管部门颁发的公路工程试验检测机构综合乙级及以上（含乙级）资质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响应文件中项目名称、项目编号、授权委托书/身份证明与本项目一致，无遗漏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授权委托书.docx 商务应答表 标的清单 报价表 响应函 汉中市政府采购供应商资格承诺函.docx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响应文件签署、盖章符合采购文件要求</w:t>
            </w:r>
          </w:p>
        </w:tc>
        <w:tc>
          <w:tcPr>
            <w:tcW w:type="dxa" w:w="1661"/>
          </w:tcPr>
          <w:p>
            <w:pPr>
              <w:pStyle w:val="null3"/>
            </w:pPr>
            <w:r>
              <w:rPr>
                <w:rFonts w:ascii="仿宋_GB2312" w:hAnsi="仿宋_GB2312" w:cs="仿宋_GB2312" w:eastAsia="仿宋_GB2312"/>
              </w:rPr>
              <w:t>响应文件封面 服务内容及服务邀请应答表 授权委托书.docx 中小企业声明函 残疾人福利性单位声明函 商务应答表 标的清单 报价表 响应函 汉中市政府采购供应商资格承诺函.docx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 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无效响应的情形</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服务内容及服务邀请应答表 供应商认为有必要补充说明的事项.docx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服务期限和投标（响应）有效期</w:t>
            </w:r>
          </w:p>
        </w:tc>
        <w:tc>
          <w:tcPr>
            <w:tcW w:type="dxa" w:w="3322"/>
          </w:tcPr>
          <w:p>
            <w:pPr>
              <w:pStyle w:val="null3"/>
            </w:pPr>
            <w:r>
              <w:rPr>
                <w:rFonts w:ascii="仿宋_GB2312" w:hAnsi="仿宋_GB2312" w:cs="仿宋_GB2312" w:eastAsia="仿宋_GB2312"/>
              </w:rPr>
              <w:t>应满足磋商文件中的相关要求</w:t>
            </w:r>
          </w:p>
        </w:tc>
        <w:tc>
          <w:tcPr>
            <w:tcW w:type="dxa" w:w="1661"/>
          </w:tcPr>
          <w:p>
            <w:pPr>
              <w:pStyle w:val="null3"/>
            </w:pPr>
            <w:r>
              <w:rPr>
                <w:rFonts w:ascii="仿宋_GB2312" w:hAnsi="仿宋_GB2312" w:cs="仿宋_GB2312" w:eastAsia="仿宋_GB2312"/>
              </w:rPr>
              <w:t>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服务方案中对该项目服务方案及服务方法的描述，是否先进合理，是否清晰理解工程重点难点、关键技术工艺是否把握准确。 [8-10分]：先进、合理、清晰、把握准确； [4-7.9分]：基本先进、合理、清晰、把握基本准确； [0-3.9分]：先进性、合理性、清晰程度、把握准确度不足。</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进度计划和保证措施</w:t>
            </w:r>
          </w:p>
        </w:tc>
        <w:tc>
          <w:tcPr>
            <w:tcW w:type="dxa" w:w="2492"/>
          </w:tcPr>
          <w:p>
            <w:pPr>
              <w:pStyle w:val="null3"/>
            </w:pPr>
            <w:r>
              <w:rPr>
                <w:rFonts w:ascii="仿宋_GB2312" w:hAnsi="仿宋_GB2312" w:cs="仿宋_GB2312" w:eastAsia="仿宋_GB2312"/>
              </w:rPr>
              <w:t>项目进度计划是否符合项目要求，从关键路径的准确、清晰，逻辑关系、措施是否有效保证计划实施等综合考量。 [8-10分]：计划措施能够优化项目要求、清晰、准确、有效保证计划实施； [4-7.9分]：计划措施基本符合项目要求、比较清晰、准确、有效； [0-3.9分]：计划措施不能保证项目要求、不够清晰、准确、有效。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服务质量保证体系与措施</w:t>
            </w:r>
          </w:p>
        </w:tc>
        <w:tc>
          <w:tcPr>
            <w:tcW w:type="dxa" w:w="2492"/>
          </w:tcPr>
          <w:p>
            <w:pPr>
              <w:pStyle w:val="null3"/>
            </w:pPr>
            <w:r>
              <w:rPr>
                <w:rFonts w:ascii="仿宋_GB2312" w:hAnsi="仿宋_GB2312" w:cs="仿宋_GB2312" w:eastAsia="仿宋_GB2312"/>
              </w:rPr>
              <w:t>质量管理措施是否完整，职责是否分明；实施过程控制及检验、分项措施针对性是否合理等指标综合考量。 [8-10分]：措施完整、职责分明、过程控制措施合理性高； [4-7.9分]：措施基本完整、职责基本分明、过程控制措施合理性基本满足； [0-3.9分]：措施不够完整、职责不够分明、过程控制措施合理性不足。</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确保安全生产的技术组织措施。 [8-10分]：描述无缺漏详细具体； [4-7.9分]：描述无缺漏但不完整详尽； [0-3.9分]：描述有缺漏且不完整详尽。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具有良好的服务能力，能够准确提供服务。提供7*24小时售后，在10分钟内响应，附本项目售后人员联系方式。（包括但不限于服务人员配备、响应时间、响应程度、解决问题时效和能力、紧急故障处理预案等）进行综合评价。 [4-5分]：售后服务方案齐全合理、可操作性强； [2-3.9分]：售后服务方案基本满足项目需求； [0-1.9分]：售后服务方案不完整或合理性低。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1.技术负责人：须具备试验检测工作经历5年以上得2分，5年以下得1分，其余不得分；并需提供企业为其缴纳的社保证明，不提供以上不得分； 2.质量负责人：须具备试验检测工作经历5年及以上得2分，5年以下得1分，其余不得分；并需提供企业为其缴纳的社保证明，不提供以上不得分。 3.其他人员：须具备以下人员得6分，并需提供企业为其缴纳的社保证明，少1人，该项不得分。 ①试验检测（采集）人员：不得少于4人（每台检测车配备不少于2人），且能熟练操作试验检测系统； ②司机：不得少于2人（每台检测车配备不少于1人）。</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配套设施配备</w:t>
            </w:r>
          </w:p>
        </w:tc>
        <w:tc>
          <w:tcPr>
            <w:tcW w:type="dxa" w:w="2492"/>
          </w:tcPr>
          <w:p>
            <w:pPr>
              <w:pStyle w:val="null3"/>
            </w:pPr>
            <w:r>
              <w:rPr>
                <w:rFonts w:ascii="仿宋_GB2312" w:hAnsi="仿宋_GB2312" w:cs="仿宋_GB2312" w:eastAsia="仿宋_GB2312"/>
              </w:rPr>
              <w:t>检测软件、仪器、设备、车辆配置。 [7-10分]：配备完善合理，使用最大化满足本项目特征（路面自动化检测车辆和设备配备不少于二套）； [3-6.9分]：配备较完善合理，基本满足本项目特征（路面自动化检测车辆和设备配备二套）； [0-2.9分]：配备合理性低，不能完全满足本项目特征。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类似业绩：供应商提供近三年（2022年7月1日-至今）以来类似项目业绩的中标通知书和合同，每提供1份得2.5分，最高得5分。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 3、供应商报价得分=（磋商基准价/最终磋商报价）×30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