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版本号：CQDL20251520250813001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新集镇河湾村道路建设革命老区项目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CQDL202515</w:t>
      </w:r>
      <w:r>
        <w:br/>
      </w:r>
      <w:r>
        <w:br/>
      </w:r>
      <w:r>
        <w:br/>
      </w:r>
    </w:p>
    <w:p>
      <w:pPr>
        <w:pStyle w:val="null3"/>
        <w:jc w:val="center"/>
        <w:outlineLvl w:val="2"/>
      </w:pPr>
      <w:r>
        <w:rPr>
          <w:rFonts w:ascii="仿宋_GB2312" w:hAnsi="仿宋_GB2312" w:cs="仿宋_GB2312" w:eastAsia="仿宋_GB2312"/>
          <w:sz w:val="28"/>
          <w:b/>
        </w:rPr>
        <w:t>汉中市南郑区新集镇人民政府</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汉中市南郑区新集镇人民政府</w:t>
      </w:r>
      <w:r>
        <w:rPr>
          <w:rFonts w:ascii="仿宋_GB2312" w:hAnsi="仿宋_GB2312" w:cs="仿宋_GB2312" w:eastAsia="仿宋_GB2312"/>
        </w:rPr>
        <w:t>委托，拟对</w:t>
      </w:r>
      <w:r>
        <w:rPr>
          <w:rFonts w:ascii="仿宋_GB2312" w:hAnsi="仿宋_GB2312" w:cs="仿宋_GB2312" w:eastAsia="仿宋_GB2312"/>
        </w:rPr>
        <w:t>新集镇河湾村道路建设革命老区项目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CQDL202515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新集镇河湾村道路建设革命老区项目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起点位于新集镇河湾村现有水泥路，终点接金华寺水库附近，该道路全长全长2.20公里。该道路计划改建成路基宽4.5米，路面宽3.5米，基层采用16cm水泥稳定砂砾基层（2.0Mpa），路面采用厚18厘米混凝土路面，道路等级：四级公路Ⅱ类，配套完成管涵等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采购包1（新集镇河湾村道路建设革命老区项目）：属于专门面向中小企业采购。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供应商应为合法注册的企业法人、事业法人、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3、供应商资质要求：供应商应具备建设行政主管部门核发的公路工程施工总承包三级（含三级）及其以上资质，且具有有效的安全生产许可证</w:t>
      </w:r>
    </w:p>
    <w:p>
      <w:pPr>
        <w:pStyle w:val="null3"/>
      </w:pPr>
      <w:r>
        <w:rPr>
          <w:rFonts w:ascii="仿宋_GB2312" w:hAnsi="仿宋_GB2312" w:cs="仿宋_GB2312" w:eastAsia="仿宋_GB2312"/>
        </w:rPr>
        <w:t>4、拟派项目负责人资质和专业要求：证书等级：二级及以上建造师 专业：公路工程 补充说明：取得安全考核B证（交安B证），且无在建工程</w:t>
      </w:r>
    </w:p>
    <w:p>
      <w:pPr>
        <w:pStyle w:val="null3"/>
      </w:pPr>
      <w:r>
        <w:rPr>
          <w:rFonts w:ascii="仿宋_GB2312" w:hAnsi="仿宋_GB2312" w:cs="仿宋_GB2312" w:eastAsia="仿宋_GB2312"/>
        </w:rPr>
        <w:t>5、供应商资格承诺函：供应商应按照汉中市财政局《关于全面推行政府采购供应商基本资格条件承诺制的通知》（汉采办采管〔2024〕20号）文件要求，提供资格承诺函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汉中市南郑区新集镇人民政府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南郑区新集镇西关村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汉中市南郑区新集镇人民政府经办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17319619179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汉中市南郑区周家坪办西大街14号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18700645682/0916-5515799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采购包1：1,460,724.04元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汉中市南郑区新集镇人民政府</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汉中市南郑区新集镇人民政府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汉中市南郑区新集镇人民政府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依据交通运输部《公路工程竣（交）工验收办法》及相关规范进行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联系电话：18700645682/0916-5515799</w:t>
      </w:r>
    </w:p>
    <w:p>
      <w:pPr>
        <w:pStyle w:val="null3"/>
      </w:pPr>
      <w:r>
        <w:rPr>
          <w:rFonts w:ascii="仿宋_GB2312" w:hAnsi="仿宋_GB2312" w:cs="仿宋_GB2312" w:eastAsia="仿宋_GB2312"/>
        </w:rPr>
        <w:t>地址：汉中市南郑区周家坪办西大街14号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1,460,724.04</w:t>
      </w:r>
    </w:p>
    <w:p>
      <w:pPr>
        <w:pStyle w:val="null3"/>
      </w:pPr>
      <w:r>
        <w:rPr>
          <w:rFonts w:ascii="仿宋_GB2312" w:hAnsi="仿宋_GB2312" w:cs="仿宋_GB2312" w:eastAsia="仿宋_GB2312"/>
        </w:rPr>
        <w:t>采购包最高限价（元）: 1,460,724.04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新集镇河湾村道路建设革命老区项目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1,460,724.04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标的名称：新集镇河湾村道路建设革命老区项目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工程质量要求达到国家质量验收规范合格标准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工期：90日历天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交通运输部《公路工程竣（交）工验收办法》及相关规范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供应商应为合法注册的企业法人、事业法人、其他组织。企业法人应提供合法有效的标识有统一社会信用代码的营业执照；事业法人应提供事业单位法人证书；其他组织应提供合法登记证明文件。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供应商应具备建设行政主管部门核发的公路工程施工总承包三级（含三级）及其以上资质，且具有有效的安全生产许可证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证书等级：二级及以上建造师 专业：公路工程 补充说明：取得安全考核B证（交安B证），且无在建工程</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已标价工程量清单 法定代表人身份证明及法定代表人授权书 技术响应方案 中小企业声明函 技术服务合同条款及其他商务要求应答表 供应商应提交的相关资格证明材料 响应文件封面 项目管理机构组成表 其他资料 残疾人福利性单位声明函 报价函 标的清单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法定代表人身份证明及法定代表人授权书 技术响应方案 中小企业声明函 技术服务合同条款及其他商务要求应答表 供应商应提交的相关资格证明材料 响应文件封面 项目管理机构组成表 其他资料 残疾人福利性单位声明函 报价函 标的清单 供应商类似项目业绩一览表 响应函 主要人员简历表 汉中市政府采购供应商资格承诺函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施工组织计划</w:t>
            </w:r>
          </w:p>
        </w:tc>
        <w:tc>
          <w:tcPr>
            <w:tcW w:type="dxa" w:w="2492"/>
          </w:tcPr>
          <w:p>
            <w:pPr>
              <w:pStyle w:val="null3"/>
            </w:pPr>
            <w:r>
              <w:rPr>
                <w:rFonts w:ascii="仿宋_GB2312" w:hAnsi="仿宋_GB2312" w:cs="仿宋_GB2312" w:eastAsia="仿宋_GB2312"/>
              </w:rPr>
              <w:t>1.项目目标：质量目标、工期目标、安全目标、文明环保施工目标： 评分标准：目标设置明确，满足项目需求[4-5]；目标设置一般，部分满足项目需求：[0-3.9]。 2.项目环境保护控制措施： 评分标准：措施具体得当，生态环保效果明显[4-5]；措施空洞，生态环保效果一般：[0-3.9]。 3.项目质量控制管理措施： 评分标准：质量控制措施健全，符合项目实际[4-5]；质量控制措施一般，有明显缺项，与项目实际有偏差[0-3.9]。 4.项目安全文明施工监督管理措施： 评分标准：安全文明施工监督管理措施得力，能有效预防安全事故[4-5]；安全文明施工监督管理措施一般，存在安全风险隐患[0-3.9]。 5.项目项目进度控制措施： 评分标准：进度计划合理，进度控制措施具有可操作性和科学性[4-5]；进度管理控制措施合理性、科学性一般，与项目实际情况存在偏差[0-3.9]</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施工布置合理，主要工程内容施工技术选用合理、施工措施得当、阐述全面[10-15]；施工布置合理性一般，主要工程内容施工技术选用较合理、施工措施较为得当、主要工程内容阐述基本全面[5-9.9]；施工布置不合理性，主要工程内容施工技术选用不合理、施工措施与实际不符、主要工程内容阐述存在较多缺项。[0-4.9]</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项目管理组织机构</w:t>
            </w:r>
          </w:p>
        </w:tc>
        <w:tc>
          <w:tcPr>
            <w:tcW w:type="dxa" w:w="2492"/>
          </w:tcPr>
          <w:p>
            <w:pPr>
              <w:pStyle w:val="null3"/>
            </w:pPr>
            <w:r>
              <w:rPr>
                <w:rFonts w:ascii="仿宋_GB2312" w:hAnsi="仿宋_GB2312" w:cs="仿宋_GB2312" w:eastAsia="仿宋_GB2312"/>
              </w:rPr>
              <w:t>人员配备齐全，岗位设置合理，职责范围明确[4-5]；人员配备合理性一般，岗位设置不合理，职责范围不明晰[0-3.9]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主要工程机械设备配备齐全、合理，完全满足项目需求[4-5]；配备一般，部分满足项目需求[0-3.9]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类似工程业绩</w:t>
            </w:r>
          </w:p>
        </w:tc>
        <w:tc>
          <w:tcPr>
            <w:tcW w:type="dxa" w:w="2492"/>
          </w:tcPr>
          <w:p>
            <w:pPr>
              <w:pStyle w:val="null3"/>
            </w:pPr>
            <w:r>
              <w:rPr>
                <w:rFonts w:ascii="仿宋_GB2312" w:hAnsi="仿宋_GB2312" w:cs="仿宋_GB2312" w:eastAsia="仿宋_GB2312"/>
              </w:rPr>
              <w:t>供应商提供2022年7月至今完成的类似项目（项目业绩是指与采购工程的结构形式、使用功能、建设规模相同或相近的项目）业绩，每提供一份得2.5分，此项最高得5.0分；注：业绩须是供应商完成的同类项目，以成交（中标）通知书或施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售后保修服务</w:t>
            </w:r>
          </w:p>
        </w:tc>
        <w:tc>
          <w:tcPr>
            <w:tcW w:type="dxa" w:w="2492"/>
          </w:tcPr>
          <w:p>
            <w:pPr>
              <w:pStyle w:val="null3"/>
            </w:pPr>
            <w:r>
              <w:rPr>
                <w:rFonts w:ascii="仿宋_GB2312" w:hAnsi="仿宋_GB2312" w:cs="仿宋_GB2312" w:eastAsia="仿宋_GB2312"/>
              </w:rPr>
              <w:t>售后保修服务措施贴合项目实际，满足采购人及项目需求，保修承诺明确[4-5]；售后保修服务内容空洞，措施不明确，承诺不明确，不能完全满足采购人及项目需求[0-3.9]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满足磋商文件要求且磋商响应最低的报价（最后的响应报价）为评审基准价，其价格分为满分。其他磋商供应商的价格分统一按照下列公式计算：磋商报价得分=（评标基准价/评标价）×价格权值%×100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详见附件：公路施工合同模板.docx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