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版本号：南采NC【2025】14号20250828002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阳春初级中学空调购置项目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南采NC【2025】14号</w:t>
      </w:r>
      <w:r>
        <w:br/>
      </w:r>
      <w:r>
        <w:br/>
      </w:r>
      <w:r>
        <w:br/>
      </w:r>
    </w:p>
    <w:p>
      <w:pPr>
        <w:pStyle w:val="null3"/>
        <w:jc w:val="center"/>
        <w:outlineLvl w:val="2"/>
      </w:pPr>
      <w:r>
        <w:rPr>
          <w:rFonts w:ascii="仿宋_GB2312" w:hAnsi="仿宋_GB2312" w:cs="仿宋_GB2312" w:eastAsia="仿宋_GB2312"/>
          <w:sz w:val="28"/>
          <w:b/>
        </w:rPr>
        <w:t>汉中市南郑区阳春镇初级中学</w:t>
      </w:r>
    </w:p>
    <w:p>
      <w:pPr>
        <w:pStyle w:val="null3"/>
        <w:jc w:val="center"/>
        <w:outlineLvl w:val="2"/>
      </w:pPr>
      <w:r>
        <w:rPr>
          <w:rFonts w:ascii="仿宋_GB2312" w:hAnsi="仿宋_GB2312" w:cs="仿宋_GB2312" w:eastAsia="仿宋_GB2312"/>
          <w:sz w:val="28"/>
          <w:b/>
        </w:rPr>
        <w:t>南郑区政府采购中心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南郑区政府采购中心</w:t>
      </w:r>
      <w:r>
        <w:rPr>
          <w:rFonts w:ascii="仿宋_GB2312" w:hAnsi="仿宋_GB2312" w:cs="仿宋_GB2312" w:eastAsia="仿宋_GB2312"/>
        </w:rPr>
        <w:t>（以下简称“代理机构”）受</w:t>
      </w:r>
      <w:r>
        <w:rPr>
          <w:rFonts w:ascii="仿宋_GB2312" w:hAnsi="仿宋_GB2312" w:cs="仿宋_GB2312" w:eastAsia="仿宋_GB2312"/>
        </w:rPr>
        <w:t>汉中市南郑区阳春镇初级中学</w:t>
      </w:r>
      <w:r>
        <w:rPr>
          <w:rFonts w:ascii="仿宋_GB2312" w:hAnsi="仿宋_GB2312" w:cs="仿宋_GB2312" w:eastAsia="仿宋_GB2312"/>
        </w:rPr>
        <w:t>委托，拟对</w:t>
      </w:r>
      <w:r>
        <w:rPr>
          <w:rFonts w:ascii="仿宋_GB2312" w:hAnsi="仿宋_GB2312" w:cs="仿宋_GB2312" w:eastAsia="仿宋_GB2312"/>
        </w:rPr>
        <w:t>阳春初级中学空调购置项目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南采NC【2025】14号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阳春初级中学空调购置项目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采购1批空调，其中2P空调193台，1.5P空调78台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m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3、法定代表人证明书及授权书：法定代表人(负责人)委托授权书法定代表人(负责人)委托代理人参加征集活动时，应提供法定代表人(负责人)委托授权书;法定代表人(负责人)亲自参加征集活动时，应提供法定代表人(负责人)身份证复印件。如法人的分支机构参与征集活动的，除提供《法定代表人授权委托书》外还须同时提供法人给分支机构出具的授权书，并加盖公章。法人只能授权一家分支机构参与征集活动，且不能与分支机构同时参与征集活动。</w:t>
      </w:r>
    </w:p>
    <w:p>
      <w:pPr>
        <w:pStyle w:val="null3"/>
      </w:pPr>
      <w:r>
        <w:rPr>
          <w:rFonts w:ascii="仿宋_GB2312" w:hAnsi="仿宋_GB2312" w:cs="仿宋_GB2312" w:eastAsia="仿宋_GB2312"/>
        </w:rPr>
        <w:t>4、其它要求：1.本项目不接受联合体投标，供应商需提供非联合体书面声明。（格式自拟）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汉中市南郑区阳春镇初级中学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陕西省汉中市南郑区阳春镇阳光村14组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南郑县阳春初级中学经办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13630271701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南郑区政府采购中心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县城南大街16号区绩效评价中心五楼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李青茂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0916-2995594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是</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是</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是</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汉中市南郑区阳春镇初级中学</w:t>
      </w:r>
      <w:r>
        <w:rPr>
          <w:rFonts w:ascii="仿宋_GB2312" w:hAnsi="仿宋_GB2312" w:cs="仿宋_GB2312" w:eastAsia="仿宋_GB2312"/>
        </w:rPr>
        <w:t>和</w:t>
      </w:r>
      <w:r>
        <w:rPr>
          <w:rFonts w:ascii="仿宋_GB2312" w:hAnsi="仿宋_GB2312" w:cs="仿宋_GB2312" w:eastAsia="仿宋_GB2312"/>
        </w:rPr>
        <w:t>南郑区政府采购中心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汉中市南郑区阳春镇初级中学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南郑区政府采购中心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汉中市南郑区阳春镇初级中学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南郑区政府采购中心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按照国家有关规定和合同约定执行。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南郑区政府采购中心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南郑区政府采购中心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南郑区政府采购中心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联系人：李青茂</w:t>
      </w:r>
    </w:p>
    <w:p>
      <w:pPr>
        <w:pStyle w:val="null3"/>
      </w:pPr>
      <w:r>
        <w:rPr>
          <w:rFonts w:ascii="仿宋_GB2312" w:hAnsi="仿宋_GB2312" w:cs="仿宋_GB2312" w:eastAsia="仿宋_GB2312"/>
        </w:rPr>
        <w:t>联系电话：0916-2995594</w:t>
      </w:r>
    </w:p>
    <w:p>
      <w:pPr>
        <w:pStyle w:val="null3"/>
      </w:pPr>
      <w:r>
        <w:rPr>
          <w:rFonts w:ascii="仿宋_GB2312" w:hAnsi="仿宋_GB2312" w:cs="仿宋_GB2312" w:eastAsia="仿宋_GB2312"/>
        </w:rPr>
        <w:t>地址：县城南大街16号区绩效评价中心五楼</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采购1批空调，其中2P空调193台，1.5P空调78台。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880,000.00</w:t>
      </w:r>
    </w:p>
    <w:p>
      <w:pPr>
        <w:pStyle w:val="null3"/>
      </w:pPr>
      <w:r>
        <w:rPr>
          <w:rFonts w:ascii="仿宋_GB2312" w:hAnsi="仿宋_GB2312" w:cs="仿宋_GB2312" w:eastAsia="仿宋_GB2312"/>
        </w:rPr>
        <w:t>采购包最高限价（元）: 880,000.00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采购空调1批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标的名称：采购空调1批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2P挂机 2P智能变频挂机，冷暖电辅热功能，二级及以上能效:制冷量≥5000W、制冷功率≤1300W、制热量≥7200W、制热功率≤2100W;外机净重≥34KG（对分体空调的室外机“重量”不做硬性要求，仅做参考要求)，质保要求:6年原厂质保，提供3C认证材料。含内机、外机、遥控器。含安装(打孔)及辅材(室外机支架等)</w:t>
            </w:r>
          </w:p>
          <w:p>
            <w:pPr>
              <w:pStyle w:val="null3"/>
            </w:pPr>
            <w:r>
              <w:rPr>
                <w:rFonts w:ascii="仿宋_GB2312" w:hAnsi="仿宋_GB2312" w:cs="仿宋_GB2312" w:eastAsia="仿宋_GB2312"/>
              </w:rPr>
              <w:t>1.5P 挂机 1.5P智能变频挂机，冷暖电辅热功能，二级及以上能效:制冷量≥3500W、制冷功率≤900W、制热量≥5000W、制热功率≤1300W;外机净重≥27KG（对分体空调的室外机“重量”不做硬性要求，仅做参考要求)，质保要求:6年原厂质保，提供3C认证材料。含内机、外机、遥控器。含安装(打孔)及辅材(室外机支架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数量    2p空调193台；1.5P空调78台。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安装地：采购人制定地点（全区9所学校）。</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对分体空调的安装补充“空调冷凝水就地集中排放”的技术要求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汉中市南郑区阳春初级中学指定位置</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货物、、运输、安装及售后、利润、税金等并其它政策性文件规定及合同包含的所有风险、责任全部履行。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遵照国家有关规定和合同约定执行，依据产品质量保修范围和保修期说明为准。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依据法律规定和合同约定。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m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负责人)委托授权书法定代表人(负责人)委托代理人参加征集活动时，应提供法定代表人(负责人)委托授权书;法定代表人(负责人)亲自参加征集活动时，应提供法定代表人(负责人)身份证复印件。如法人的分支机构参与征集活动的，除提供《法定代表人授权委托书》外还须同时提供法人给分支机构出具的授权书，并加盖公章。法人只能授权一家分支机构参与征集活动，且不能与分支机构同时参与征集活动。</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其它要求</w:t>
            </w:r>
          </w:p>
        </w:tc>
        <w:tc>
          <w:tcPr>
            <w:tcW w:type="dxa" w:w="3322"/>
          </w:tcPr>
          <w:p>
            <w:pPr>
              <w:pStyle w:val="null3"/>
            </w:pPr>
            <w:r>
              <w:rPr>
                <w:rFonts w:ascii="仿宋_GB2312" w:hAnsi="仿宋_GB2312" w:cs="仿宋_GB2312" w:eastAsia="仿宋_GB2312"/>
              </w:rPr>
              <w:t>1.本项目不接受联合体投标，供应商需提供非联合体书面声明。（格式自拟）</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技术参数偏离表 中小企业声明函 残疾人福利性单位声明函 标的清单 供应商应提交的相关资格证明材料 报价表 商务要求响应表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详见附件：技术参数偏离表</w:t>
      </w:r>
    </w:p>
    <w:p>
      <w:pPr>
        <w:pStyle w:val="null3"/>
        <w:ind w:firstLine="960"/>
      </w:pPr>
      <w:r>
        <w:rPr>
          <w:rFonts w:ascii="仿宋_GB2312" w:hAnsi="仿宋_GB2312" w:cs="仿宋_GB2312" w:eastAsia="仿宋_GB2312"/>
        </w:rPr>
        <w:t>详见附件：商务要求响应表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详见附件：竞争性谈判合同文本.docx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