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版本号：ZGHJ-HZ-20250800220250815001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2025年南郑区青树镇青树村人居环境整治项目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ZGHJ-HZ-202508002</w:t>
      </w:r>
      <w:r>
        <w:br/>
      </w:r>
      <w:r>
        <w:br/>
      </w:r>
      <w:r>
        <w:br/>
      </w:r>
    </w:p>
    <w:p>
      <w:pPr>
        <w:pStyle w:val="null3"/>
        <w:jc w:val="center"/>
        <w:outlineLvl w:val="2"/>
      </w:pPr>
      <w:r>
        <w:rPr>
          <w:rFonts w:ascii="仿宋_GB2312" w:hAnsi="仿宋_GB2312" w:cs="仿宋_GB2312" w:eastAsia="仿宋_GB2312"/>
          <w:sz w:val="28"/>
          <w:b/>
        </w:rPr>
        <w:t>汉中市南郑区青树镇人民政府</w:t>
      </w:r>
    </w:p>
    <w:p>
      <w:pPr>
        <w:pStyle w:val="null3"/>
        <w:jc w:val="center"/>
        <w:outlineLvl w:val="2"/>
      </w:pPr>
      <w:r>
        <w:rPr>
          <w:rFonts w:ascii="仿宋_GB2312" w:hAnsi="仿宋_GB2312" w:cs="仿宋_GB2312" w:eastAsia="仿宋_GB2312"/>
          <w:sz w:val="28"/>
          <w:b/>
        </w:rPr>
        <w:t>中恭鸿建项目管理有限公司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中恭鸿建项目管理有限公司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汉中市南郑区青树镇人民政府</w:t>
      </w:r>
      <w:r>
        <w:rPr>
          <w:rFonts w:ascii="仿宋_GB2312" w:hAnsi="仿宋_GB2312" w:cs="仿宋_GB2312" w:eastAsia="仿宋_GB2312"/>
        </w:rPr>
        <w:t>委托，拟对</w:t>
      </w:r>
      <w:r>
        <w:rPr>
          <w:rFonts w:ascii="仿宋_GB2312" w:hAnsi="仿宋_GB2312" w:cs="仿宋_GB2312" w:eastAsia="仿宋_GB2312"/>
        </w:rPr>
        <w:t>2025年南郑区青树镇青树村人居环境整治项目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ZGHJ-HZ-202508002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2025年南郑区青树镇青树村人居环境整治项目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南郑区青树镇青树村，主要施工内容为新建U型渠污水沟1518米，预制安装500*700*100水沟盖板1000米，污水沟清淤200立方，铺设透水砖人行步道2000平米，破损道路拆除修复450平米，清理路边垃圾5000平米，清理及修复残垣断壁2处，安放垃圾收储设备10处，植物种植100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采购包1（2025年南郑区青树镇青树村人居环境整治项目）：属于专门面向中小企业采购。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2、响应文件签署人身份证明：法定代表人参加投标须提供《法定代表人身份证明》及身份证扫描件；法定代表人授权他人参加投标，须提供《法定代表人授权委托书》、被授权人身份证扫描件；</w:t>
      </w:r>
    </w:p>
    <w:p>
      <w:pPr>
        <w:pStyle w:val="null3"/>
      </w:pPr>
      <w:r>
        <w:rPr>
          <w:rFonts w:ascii="仿宋_GB2312" w:hAnsi="仿宋_GB2312" w:cs="仿宋_GB2312" w:eastAsia="仿宋_GB2312"/>
        </w:rPr>
        <w:t>3、企业资质要求：供应商须具备建设行政主管部门核发的市政公用工程施工总承包三级及以上资质，具有有效的安全生产许可证；</w:t>
      </w:r>
    </w:p>
    <w:p>
      <w:pPr>
        <w:pStyle w:val="null3"/>
      </w:pPr>
      <w:r>
        <w:rPr>
          <w:rFonts w:ascii="仿宋_GB2312" w:hAnsi="仿宋_GB2312" w:cs="仿宋_GB2312" w:eastAsia="仿宋_GB2312"/>
        </w:rPr>
        <w:t>4、拟派项目负责人：拟派项目负责人须具备市政公用工程专业二级及以上注册建造师资格，并具有行业主管部门核发的安全生产考核合格B证，且无在建项目；</w:t>
      </w:r>
    </w:p>
    <w:p>
      <w:pPr>
        <w:pStyle w:val="null3"/>
      </w:pPr>
      <w:r>
        <w:rPr>
          <w:rFonts w:ascii="仿宋_GB2312" w:hAnsi="仿宋_GB2312" w:cs="仿宋_GB2312" w:eastAsia="仿宋_GB2312"/>
        </w:rPr>
        <w:t>5、供应商资格承诺函：供应商须提供“汉中市政府采购供应商资格承诺函”；</w:t>
      </w:r>
    </w:p>
    <w:p>
      <w:pPr>
        <w:pStyle w:val="null3"/>
      </w:pPr>
      <w:r>
        <w:rPr>
          <w:rFonts w:ascii="仿宋_GB2312" w:hAnsi="仿宋_GB2312" w:cs="仿宋_GB2312" w:eastAsia="仿宋_GB2312"/>
        </w:rPr>
        <w:t>6、非联合体声明：本项目不接受联合体投标，需提供非联合体书面声明；</w:t>
      </w:r>
    </w:p>
    <w:p>
      <w:pPr>
        <w:pStyle w:val="null3"/>
      </w:pPr>
      <w:r>
        <w:rPr>
          <w:rFonts w:ascii="仿宋_GB2312" w:hAnsi="仿宋_GB2312" w:cs="仿宋_GB2312" w:eastAsia="仿宋_GB2312"/>
        </w:rPr>
        <w:t>7、本项目专门面向中小企业采购：供应商须提供中小企业声明函。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汉中市南郑区青树镇人民政府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青树镇南湖路18号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汉中市南郑区青树镇人民政府经办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15877538916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中恭鸿建项目管理有限公司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汉中市汉台区前进东路朱家营53号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0916-8817667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国家发展改革委员会办公厅颁发的《关于招标代理服务收费有关问题的通知》（发改办价格[2003]857号）和《国家发展改革委关于降低部分建设项目收费标准规范收费行为等有关问题的通知》（发改价格[2011]534号）文件的有关规定收取。中标人承担招标代理服务费，中标单位在领取中标通知书前，须向采购代理机构一次性支付代理服务费。代理服务费的具体金额后续见本项目中标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汉中市南郑区青树镇人民政府</w:t>
      </w:r>
      <w:r>
        <w:rPr>
          <w:rFonts w:ascii="仿宋_GB2312" w:hAnsi="仿宋_GB2312" w:cs="仿宋_GB2312" w:eastAsia="仿宋_GB2312"/>
        </w:rPr>
        <w:t>和</w:t>
      </w:r>
      <w:r>
        <w:rPr>
          <w:rFonts w:ascii="仿宋_GB2312" w:hAnsi="仿宋_GB2312" w:cs="仿宋_GB2312" w:eastAsia="仿宋_GB2312"/>
        </w:rPr>
        <w:t>中恭鸿建项目管理有限公司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汉中市南郑区青树镇人民政府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中恭鸿建项目管理有限公司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汉中市南郑区青树镇人民政府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中恭鸿建项目管理有限公司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联系电话：0916-8817667</w:t>
      </w:r>
    </w:p>
    <w:p>
      <w:pPr>
        <w:pStyle w:val="null3"/>
      </w:pPr>
      <w:r>
        <w:rPr>
          <w:rFonts w:ascii="仿宋_GB2312" w:hAnsi="仿宋_GB2312" w:cs="仿宋_GB2312" w:eastAsia="仿宋_GB2312"/>
        </w:rPr>
        <w:t>地址：汉中市汉台区前进东路朱家营53号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1,179,810.65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青树镇青树村人居环境整治项目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标的名称：青树镇青树村人居环境整治项目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left"/>
            </w:pPr>
            <w:r>
              <w:rPr>
                <w:rFonts w:ascii="仿宋_GB2312" w:hAnsi="仿宋_GB2312" w:cs="仿宋_GB2312" w:eastAsia="仿宋_GB2312"/>
                <w:sz w:val="21"/>
              </w:rPr>
              <w:t>新建U型渠污水沟1518米，预制安装500*700*100水沟盖板1000米，污水沟清淤200立方，铺设透水砖人行步道2000平米，破损道路拆除修复450平米，清理路边垃圾5000平米，清理及修复残垣断壁2处，安放垃圾收储设备10处，植物种植100株。</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1份，电子版文件1份（以U盘为载体，电子版内容包括Word版本、签字盖章扫描后的PDF版本响应文件、工程量清单软件版本）。2、纸质响应文件均须A4纸打印，分别各自装订成册并编制目录和页码。线下递交响应文件地点：汉中市汉台区前进东路朱家营53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法定代表人参加投标须提供《法定代表人身份证明》及身份证扫描件；法定代表人授权他人参加投标，须提供《法定代表人授权委托书》、被授权人身份证扫描件；</w:t>
            </w:r>
          </w:p>
        </w:tc>
        <w:tc>
          <w:tcPr>
            <w:tcW w:type="dxa" w:w="1661"/>
          </w:tcPr>
          <w:p>
            <w:pPr>
              <w:pStyle w:val="null3"/>
            </w:pPr>
            <w:r>
              <w:rPr>
                <w:rFonts w:ascii="仿宋_GB2312" w:hAnsi="仿宋_GB2312" w:cs="仿宋_GB2312" w:eastAsia="仿宋_GB2312"/>
              </w:rPr>
              <w:t>法定代表人证明书与授权委托书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供应商须具备建设行政主管部门核发的市政公用工程施工总承包三级及以上资质，具有有效的安全生产许可证；</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拟派项目负责人须具备市政公用工程专业二级及以上注册建造师资格，并具有行业主管部门核发的安全生产考核合格B证，且无在建项目；</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响应文件封面 法定代表人证明书与授权委托书 项目管理机构组成表 残疾人福利性单位声明函 报价函 标的清单 供应商类似项目业绩一览表 响应函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响应文件封面 法定代表人证明书与授权委托书 项目管理机构组成表 残疾人福利性单位声明函 报价函 标的清单 供应商类似项目业绩一览表 响应函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措施完善，可操性强计6-8分，措施合理、有可操性计4-5分，措施及可操性一般计1-3分。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拟派项目负责人及组织机构人员配备具体方案</w:t>
            </w:r>
          </w:p>
        </w:tc>
        <w:tc>
          <w:tcPr>
            <w:tcW w:type="dxa" w:w="2492"/>
          </w:tcPr>
          <w:p>
            <w:pPr>
              <w:pStyle w:val="null3"/>
            </w:pPr>
            <w:r>
              <w:rPr>
                <w:rFonts w:ascii="仿宋_GB2312" w:hAnsi="仿宋_GB2312" w:cs="仿宋_GB2312" w:eastAsia="仿宋_GB2312"/>
              </w:rPr>
              <w:t>方案完善分工合理、责任明确计8-10分，方案清晰，分工相对合理计4-7分，方案一般计1-3分。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进度计划合理、措施完善计7-10分，进度计划相对合理、措施清晰计4-6分，进度计划及措施基本合理计1-3分。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标准严格，程序规范；措施完善计7-10分，措施合理清晰计4-6分，措施一般计1-3分。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投入本项目施工的设备、机械、工具</w:t>
            </w:r>
          </w:p>
        </w:tc>
        <w:tc>
          <w:tcPr>
            <w:tcW w:type="dxa" w:w="2492"/>
          </w:tcPr>
          <w:p>
            <w:pPr>
              <w:pStyle w:val="null3"/>
            </w:pPr>
            <w:r>
              <w:rPr>
                <w:rFonts w:ascii="仿宋_GB2312" w:hAnsi="仿宋_GB2312" w:cs="仿宋_GB2312" w:eastAsia="仿宋_GB2312"/>
              </w:rPr>
              <w:t>设备齐全计4-5分，设备相对齐全计3分，设备基本齐全计1-2分。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安全防火、文明环保措施</w:t>
            </w:r>
          </w:p>
        </w:tc>
        <w:tc>
          <w:tcPr>
            <w:tcW w:type="dxa" w:w="2492"/>
          </w:tcPr>
          <w:p>
            <w:pPr>
              <w:pStyle w:val="null3"/>
            </w:pPr>
            <w:r>
              <w:rPr>
                <w:rFonts w:ascii="仿宋_GB2312" w:hAnsi="仿宋_GB2312" w:cs="仿宋_GB2312" w:eastAsia="仿宋_GB2312"/>
              </w:rPr>
              <w:t>措施完善计6-7分，措施合理清晰计4-5分，措施一般计1-3分。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针对本项目的临时性、阶段性工作及突发事件的应急处理方案</w:t>
            </w:r>
          </w:p>
        </w:tc>
        <w:tc>
          <w:tcPr>
            <w:tcW w:type="dxa" w:w="2492"/>
          </w:tcPr>
          <w:p>
            <w:pPr>
              <w:pStyle w:val="null3"/>
            </w:pPr>
            <w:r>
              <w:rPr>
                <w:rFonts w:ascii="仿宋_GB2312" w:hAnsi="仿宋_GB2312" w:cs="仿宋_GB2312" w:eastAsia="仿宋_GB2312"/>
              </w:rPr>
              <w:t>方案完善、实用性强计4-5分，方案合理、实用性较好计3分，方案及实用性一般计1-2分。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根据供应商提供的雨季施工管理及防范措施</w:t>
            </w:r>
          </w:p>
        </w:tc>
        <w:tc>
          <w:tcPr>
            <w:tcW w:type="dxa" w:w="2492"/>
          </w:tcPr>
          <w:p>
            <w:pPr>
              <w:pStyle w:val="null3"/>
            </w:pPr>
            <w:r>
              <w:rPr>
                <w:rFonts w:ascii="仿宋_GB2312" w:hAnsi="仿宋_GB2312" w:cs="仿宋_GB2312" w:eastAsia="仿宋_GB2312"/>
              </w:rPr>
              <w:t>措施完善计4-5分，措施合理清晰计3分，措施一般计1-2分。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（以签订日期自2022年至今的合同或中标通知书为准），每提供一份计2分，满分4分。（以标书内复印件加盖公章为准）。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施工单位的施工保修承诺</w:t>
            </w:r>
          </w:p>
        </w:tc>
        <w:tc>
          <w:tcPr>
            <w:tcW w:type="dxa" w:w="2492"/>
          </w:tcPr>
          <w:p>
            <w:pPr>
              <w:pStyle w:val="null3"/>
            </w:pPr>
            <w:r>
              <w:rPr>
                <w:rFonts w:ascii="仿宋_GB2312" w:hAnsi="仿宋_GB2312" w:cs="仿宋_GB2312" w:eastAsia="仿宋_GB2312"/>
              </w:rPr>
              <w:t>内容完善、明确计5-6分，内容较完善、合理计3-4分，内容一般计1-2分。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满足磋商文件要求且投标报价最低的投标报价为评标基准价，其价格分为满分。其他各投标人的价格分统一按下列公式计算：报价得分=（评标基准价/投标报价）×30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详见附件：法定代表人证明书与授权委托书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