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版本号：HXCG-2025-HZ-08-0320250818001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碑坝镇大西坝村道路改造革命老区项目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HXCG-2025-HZ-08-03</w:t>
      </w:r>
      <w:r>
        <w:br/>
      </w:r>
      <w:r>
        <w:br/>
      </w:r>
      <w:r>
        <w:br/>
      </w:r>
    </w:p>
    <w:p>
      <w:pPr>
        <w:pStyle w:val="null3"/>
        <w:jc w:val="center"/>
        <w:outlineLvl w:val="2"/>
      </w:pPr>
      <w:r>
        <w:rPr>
          <w:rFonts w:ascii="仿宋_GB2312" w:hAnsi="仿宋_GB2312" w:cs="仿宋_GB2312" w:eastAsia="仿宋_GB2312"/>
          <w:sz w:val="28"/>
          <w:b/>
        </w:rPr>
        <w:t>汉中市南郑区碑坝镇人民政府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汉中市南郑区碑坝镇人民政府</w:t>
      </w:r>
      <w:r>
        <w:rPr>
          <w:rFonts w:ascii="仿宋_GB2312" w:hAnsi="仿宋_GB2312" w:cs="仿宋_GB2312" w:eastAsia="仿宋_GB2312"/>
        </w:rPr>
        <w:t>委托，拟对</w:t>
      </w:r>
      <w:r>
        <w:rPr>
          <w:rFonts w:ascii="仿宋_GB2312" w:hAnsi="仿宋_GB2312" w:cs="仿宋_GB2312" w:eastAsia="仿宋_GB2312"/>
        </w:rPr>
        <w:t>碑坝镇大西坝村道路改造革命老区项目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HXCG-2025-HZ-08-03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碑坝镇大西坝村道路改造革命老区项目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碑坝镇茶园村，包含4条路线，路线全长4.1公里。其中改造道路(路1、路2、路3)全长2.5公里，修复道路(路4)全长1.6公里，该道路工程采用四级公路标准进行设计；路基宽度4.5米，路面宽度3.5米，两侧土路肩各0.5米，修复路面宽度3.5米；路面结构形式：改造道路为18厘米混凝土面层(4.0Mpa)+16厘米水泥稳定碎石基层(2.5Mpa);修复道路为18厘米混凝土面层(4.0Mpa)+15厘米C15贫混凝土基层。全线共设置涵洞23道，其中路线1新建1道明板涵、12道钢筋混凝土圆管涵；路线2新建7道钢筋混凝土圆管涵；路线3新建1道明板涵；路线4新建2道钢筋混凝土圆管涵，新建漫水桥一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采购包1（碑坝镇大西坝村道路改造革命老区项目）：属于专门面向中小企业采购。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3、拟派项目经理须具备公路工程专业二级（含二级）以上注册建造师资格和安全生产考核合格B证，且无在建项目；：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供应商应授权合法的人员参加磋商会议，其中法定代表人直接参加的，须出具法人身份证原件，并与营业执照上信息一致；授权代表参加的，须出具法定代表人授权书及被授权人身份证原件；：供应商应授权合法的人员参加磋商会议，其中法定代表人直接参加的，须出具法人身份证原件，并与营业执照上信息一致；授权代表参加的，须出具法定代表人授权书及被授权人身份证原件；</w:t>
      </w:r>
    </w:p>
    <w:p>
      <w:pPr>
        <w:pStyle w:val="null3"/>
      </w:pPr>
      <w:r>
        <w:rPr>
          <w:rFonts w:ascii="仿宋_GB2312" w:hAnsi="仿宋_GB2312" w:cs="仿宋_GB2312" w:eastAsia="仿宋_GB2312"/>
        </w:rPr>
        <w:t>6、本项目不接受联合体磋商；单位负责人为同一人或者存在控股、管理关系的不同单位不得同时参加本次磋商活动；：本项目不接受联合体磋商；单位负责人为同一人或者存在控股、管理关系的不同单位不得同时参加本次磋商活动；</w:t>
      </w:r>
    </w:p>
    <w:p>
      <w:pPr>
        <w:pStyle w:val="null3"/>
      </w:pPr>
      <w:r>
        <w:rPr>
          <w:rFonts w:ascii="仿宋_GB2312" w:hAnsi="仿宋_GB2312" w:cs="仿宋_GB2312" w:eastAsia="仿宋_GB2312"/>
        </w:rPr>
        <w:t>7、提供磋商保证金缴纳凭证；：提供磋商保证金缴纳凭证；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汉中市南郑区碑坝镇人民政府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南郑区碑坝镇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汉中市南郑区碑坝镇人民政府经办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13809165798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采购包1：2,278,514.00元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汉中市南郑区碑坝镇人民政府</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汉中市南郑区碑坝镇人民政府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汉中市南郑区碑坝镇人民政府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联系人：汉中经办</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2,278,514.00</w:t>
      </w:r>
    </w:p>
    <w:p>
      <w:pPr>
        <w:pStyle w:val="null3"/>
      </w:pPr>
      <w:r>
        <w:rPr>
          <w:rFonts w:ascii="仿宋_GB2312" w:hAnsi="仿宋_GB2312" w:cs="仿宋_GB2312" w:eastAsia="仿宋_GB2312"/>
        </w:rPr>
        <w:t>采购包最高限价（元）: 2,278,514.00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道路改造革命老区项目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2,278,514.00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标的名称：道路改造革命老区项目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工程概况</w:t>
            </w:r>
          </w:p>
          <w:p>
            <w:pPr>
              <w:pStyle w:val="null3"/>
              <w:jc w:val="left"/>
            </w:pPr>
            <w:r>
              <w:rPr>
                <w:rFonts w:ascii="仿宋_GB2312" w:hAnsi="仿宋_GB2312" w:cs="仿宋_GB2312" w:eastAsia="仿宋_GB2312"/>
                <w:sz w:val="28"/>
              </w:rPr>
              <w:t>该项目位于碑坝镇茶园村，包含</w:t>
            </w:r>
            <w:r>
              <w:rPr>
                <w:rFonts w:ascii="仿宋_GB2312" w:hAnsi="仿宋_GB2312" w:cs="仿宋_GB2312" w:eastAsia="仿宋_GB2312"/>
                <w:sz w:val="28"/>
              </w:rPr>
              <w:t>4条路线，路线全长4.1公里。其中改造道路(路1、路2、路3)全长2.5公里，修复道路(路4)全长1.6公里，该道路工程采用四级公路标准进行设计；路基宽度4.5米，路面宽度3.5米，两侧土路肩各0.5米，修复路面宽度3.5米；路面结构形式：改造道路为18厘米混凝土面层(4.0Mpa)+16厘米水泥稳定碎石基层(2.5Mpa);修复道路为18厘米混凝土面层(4.0Mpa)+15厘米C15贫混凝土基层。全线共设置涵洞23道，其中路线1新建1道明板涵、12道钢筋混凝土圆管涵；路线2新建7道钢筋混凝土圆管涵；路线3新建1道明板涵；路线4新建2道钢筋混凝土圆管涵，新建漫水桥一座。</w:t>
            </w:r>
          </w:p>
          <w:p>
            <w:pPr>
              <w:pStyle w:val="null3"/>
              <w:jc w:val="left"/>
            </w:pPr>
            <w:r>
              <w:rPr>
                <w:rFonts w:ascii="仿宋_GB2312" w:hAnsi="仿宋_GB2312" w:cs="仿宋_GB2312" w:eastAsia="仿宋_GB2312"/>
                <w:sz w:val="28"/>
              </w:rPr>
              <w:t>2.计划工期：合同签订后50日历天</w:t>
            </w:r>
          </w:p>
          <w:p>
            <w:pPr>
              <w:pStyle w:val="null3"/>
              <w:jc w:val="left"/>
            </w:pPr>
            <w:r>
              <w:rPr>
                <w:rFonts w:ascii="仿宋_GB2312" w:hAnsi="仿宋_GB2312" w:cs="仿宋_GB2312" w:eastAsia="仿宋_GB2312"/>
                <w:sz w:val="28"/>
              </w:rPr>
              <w:t>3.质量目标：合格</w:t>
            </w:r>
          </w:p>
          <w:p>
            <w:pPr>
              <w:pStyle w:val="null3"/>
              <w:jc w:val="left"/>
            </w:pPr>
            <w:r>
              <w:rPr>
                <w:rFonts w:ascii="仿宋_GB2312" w:hAnsi="仿宋_GB2312" w:cs="仿宋_GB2312" w:eastAsia="仿宋_GB2312"/>
                <w:sz w:val="28"/>
              </w:rPr>
              <w:t>4.质保期：2年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乡村道路工程技术规范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提供磋商保证金缴纳凭证；</w:t>
            </w:r>
          </w:p>
        </w:tc>
        <w:tc>
          <w:tcPr>
            <w:tcW w:type="dxa" w:w="3322"/>
          </w:tcPr>
          <w:p>
            <w:pPr>
              <w:pStyle w:val="null3"/>
            </w:pPr>
            <w:r>
              <w:rPr>
                <w:rFonts w:ascii="仿宋_GB2312" w:hAnsi="仿宋_GB2312" w:cs="仿宋_GB2312" w:eastAsia="仿宋_GB2312"/>
              </w:rPr>
              <w:t>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提供详细完整的服务方案。包含但不限于：日常维护，应急响应速度及措施，质量保证承诺等进行综合赋分，方案详实充分，根据响应情况赋分0-5分，未提供的不计分。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 （一般0-2分，良2.1-6分；优6.1-10分）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措施科学、合理、可行；（一般0-2分，良2.1-5分；优5.1-8分）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施工进度计划及工期保证措施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w:t>
            </w:r>
          </w:p>
        </w:tc>
      </w:tr>
      <w:tr>
        <w:tc>
          <w:tcPr>
            <w:tcW w:type="dxa" w:w="831"/>
            <w:vMerge/>
          </w:tcPr>
          <w:p/>
        </w:tc>
        <w:tc>
          <w:tcPr>
            <w:tcW w:type="dxa" w:w="1661"/>
          </w:tcPr>
          <w:p>
            <w:pPr>
              <w:pStyle w:val="null3"/>
            </w:pPr>
            <w:r>
              <w:rPr>
                <w:rFonts w:ascii="仿宋_GB2312" w:hAnsi="仿宋_GB2312" w:cs="仿宋_GB2312" w:eastAsia="仿宋_GB2312"/>
              </w:rPr>
              <w:t>主要机械设备</w:t>
            </w:r>
          </w:p>
        </w:tc>
        <w:tc>
          <w:tcPr>
            <w:tcW w:type="dxa" w:w="2492"/>
          </w:tcPr>
          <w:p>
            <w:pPr>
              <w:pStyle w:val="null3"/>
            </w:pPr>
            <w:r>
              <w:rPr>
                <w:rFonts w:ascii="仿宋_GB2312" w:hAnsi="仿宋_GB2312" w:cs="仿宋_GB2312" w:eastAsia="仿宋_GB2312"/>
              </w:rPr>
              <w:t>机械设备配备齐全、科学、合理；（一般0-2分，良2.1-5优5.1-7分）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主要机械设备</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组织结构完整，人员配置合理，职责明确；（一般0-2分，良2.1-4分，优4.1-5分）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2、注:评审小组二分之一以上专家认为某投标报价有低于成本价嫌疑的，且供应商无法证明其价格合理性的，为无效报价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详见附件：施工安全保证措施</w:t>
      </w:r>
    </w:p>
    <w:p>
      <w:pPr>
        <w:pStyle w:val="null3"/>
        <w:ind w:firstLine="960"/>
      </w:pPr>
      <w:r>
        <w:rPr>
          <w:rFonts w:ascii="仿宋_GB2312" w:hAnsi="仿宋_GB2312" w:cs="仿宋_GB2312" w:eastAsia="仿宋_GB2312"/>
        </w:rPr>
        <w:t>详见附件：施工进度计划及工期保证措施</w:t>
      </w:r>
    </w:p>
    <w:p>
      <w:pPr>
        <w:pStyle w:val="null3"/>
        <w:ind w:firstLine="960"/>
      </w:pPr>
      <w:r>
        <w:rPr>
          <w:rFonts w:ascii="仿宋_GB2312" w:hAnsi="仿宋_GB2312" w:cs="仿宋_GB2312" w:eastAsia="仿宋_GB2312"/>
        </w:rPr>
        <w:t>详见附件：文明施工及环境保护措施</w:t>
      </w:r>
    </w:p>
    <w:p>
      <w:pPr>
        <w:pStyle w:val="null3"/>
        <w:ind w:firstLine="960"/>
      </w:pPr>
      <w:r>
        <w:rPr>
          <w:rFonts w:ascii="仿宋_GB2312" w:hAnsi="仿宋_GB2312" w:cs="仿宋_GB2312" w:eastAsia="仿宋_GB2312"/>
        </w:rPr>
        <w:t>详见附件：主要机械设备</w:t>
      </w:r>
    </w:p>
    <w:p>
      <w:pPr>
        <w:pStyle w:val="null3"/>
        <w:ind w:firstLine="960"/>
      </w:pPr>
      <w:r>
        <w:rPr>
          <w:rFonts w:ascii="仿宋_GB2312" w:hAnsi="仿宋_GB2312" w:cs="仿宋_GB2312" w:eastAsia="仿宋_GB2312"/>
        </w:rPr>
        <w:t>详见附件：人员配备情况表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