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版本号：NBC-2025-ZFCS-G-10420250824001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湘水镇海棠寺村道路建设革命老区项目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NBC-2025-ZFCS-G-104</w:t>
      </w:r>
      <w:r>
        <w:br/>
      </w:r>
      <w:r>
        <w:br/>
      </w:r>
      <w:r>
        <w:br/>
      </w:r>
    </w:p>
    <w:p>
      <w:pPr>
        <w:pStyle w:val="null3"/>
        <w:jc w:val="center"/>
        <w:outlineLvl w:val="2"/>
      </w:pPr>
      <w:r>
        <w:rPr>
          <w:rFonts w:ascii="仿宋_GB2312" w:hAnsi="仿宋_GB2312" w:cs="仿宋_GB2312" w:eastAsia="仿宋_GB2312"/>
          <w:sz w:val="28"/>
          <w:b/>
        </w:rPr>
        <w:t>汉中市南郑区湘水镇人民政府</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汉中市南郑区湘水镇人民政府</w:t>
      </w:r>
      <w:r>
        <w:rPr>
          <w:rFonts w:ascii="仿宋_GB2312" w:hAnsi="仿宋_GB2312" w:cs="仿宋_GB2312" w:eastAsia="仿宋_GB2312"/>
        </w:rPr>
        <w:t>委托，拟对</w:t>
      </w:r>
      <w:r>
        <w:rPr>
          <w:rFonts w:ascii="仿宋_GB2312" w:hAnsi="仿宋_GB2312" w:cs="仿宋_GB2312" w:eastAsia="仿宋_GB2312"/>
        </w:rPr>
        <w:t>湘水镇海棠寺村道路建设革命老区项目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NBC-2025-ZFCS-G-104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湘水镇海棠寺村道路建设革命老区项目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湘水镇海棠寺村道路建设革命老区项目道路总长1.08Km,包含2条路线。其中：主线长546米，起点从升仙路与九组交叉口至邱忠平房侧；支线长534米，起点从塘镇平门前至桥会湾。全线道路设计标准均为四级公路Ⅱ类，设计为18cm水泥混凝土面层+16cm水泥稳定砂砾基层，路面宽度3.5米，路基宽度4.5米，两侧土路肩各0.5米。沿线完善沿线排水、桥涵、防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采购包1（湘水镇海棠寺村道路建设革命老区项目）：属于专门面向中小企业采购。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企业法人、事业法人、其他组织，提供营业执照原件（事业单位须事业单位法人证、组织机构代码证等证明文件；其他组织应提供合法证明文件）；：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供应商应授权合法的人员参加磋商会议，其中法定代表人直接参加的，须出具法人身份证原件，并与营业执照上信息一致；授权代表参加的，须出具法定代表人授权书及被授权人身份证原件；：供应商应授权合法的人员参加磋商会议，其中法定代表人直接参加的，须出具法人身份证原件，并与营业执照上信息一致；授权代表参加的，须出具法定代表人授权书及被授权人身份证原件；</w:t>
      </w:r>
    </w:p>
    <w:p>
      <w:pPr>
        <w:pStyle w:val="null3"/>
      </w:pPr>
      <w:r>
        <w:rPr>
          <w:rFonts w:ascii="仿宋_GB2312" w:hAnsi="仿宋_GB2312" w:cs="仿宋_GB2312" w:eastAsia="仿宋_GB2312"/>
        </w:rPr>
        <w:t>3、供应商具有行政主管部门核发的公路工程施工总承包三级（含三级）及以上资质，且具有有效的安全生产许可证；：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4、拟派项目经理须具备公路工程专业二级（含二级）以上注册建造师资格和安全生产考核合格B证，且无在建项目：拟派项目经理须具备公路工程专业二级（含二级）以上注册建造师资格和安全生产考核合格B证，且无在建项目</w:t>
      </w:r>
    </w:p>
    <w:p>
      <w:pPr>
        <w:pStyle w:val="null3"/>
      </w:pPr>
      <w:r>
        <w:rPr>
          <w:rFonts w:ascii="仿宋_GB2312" w:hAnsi="仿宋_GB2312" w:cs="仿宋_GB2312" w:eastAsia="仿宋_GB2312"/>
        </w:rPr>
        <w:t>5、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汉中市南郑区湘水镇人民政府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湘水镇湘水村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汉中市南郑区湘水镇人民政府府经办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18590907725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汉台区东一环路中饮国际办公中心 8008室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15319339961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采购包1：981,147.00元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开户名称：纳百川项目管理咨询有限公司汉中分公司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银行账号：2606053909200086526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展改革委员会办公厅颁发的《关于采购代理服务收费有关问题的通知》（发改办价格[2003]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汉中市南郑区湘水镇人民政府</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汉中市南郑区湘水镇人民政府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汉中市南郑区湘水镇人民政府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联系人：高女士</w:t>
      </w:r>
    </w:p>
    <w:p>
      <w:pPr>
        <w:pStyle w:val="null3"/>
      </w:pPr>
      <w:r>
        <w:rPr>
          <w:rFonts w:ascii="仿宋_GB2312" w:hAnsi="仿宋_GB2312" w:cs="仿宋_GB2312" w:eastAsia="仿宋_GB2312"/>
        </w:rPr>
        <w:t>联系电话：15319339961</w:t>
      </w:r>
    </w:p>
    <w:p>
      <w:pPr>
        <w:pStyle w:val="null3"/>
      </w:pPr>
      <w:r>
        <w:rPr>
          <w:rFonts w:ascii="仿宋_GB2312" w:hAnsi="仿宋_GB2312" w:cs="仿宋_GB2312" w:eastAsia="仿宋_GB2312"/>
        </w:rPr>
        <w:t>地址：汉台区东一环路中饮国际办公中心 8008 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981,147.00</w:t>
      </w:r>
    </w:p>
    <w:p>
      <w:pPr>
        <w:pStyle w:val="null3"/>
      </w:pPr>
      <w:r>
        <w:rPr>
          <w:rFonts w:ascii="仿宋_GB2312" w:hAnsi="仿宋_GB2312" w:cs="仿宋_GB2312" w:eastAsia="仿宋_GB2312"/>
        </w:rPr>
        <w:t>采购包最高限价（元）: 981,147.00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村道路建设革命老区项目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981,147.00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标的名称：村道路建设革命老区项目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一、编制依据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1．《公路工程建设项目概算预算编制办法》（JTG 3830-2018），以下简称“编制办法”；</w:t>
            </w:r>
          </w:p>
          <w:p>
            <w:pPr>
              <w:pStyle w:val="null3"/>
              <w:jc w:val="both"/>
            </w:pPr>
            <w:r>
              <w:rPr>
                <w:rFonts w:ascii="仿宋_GB2312" w:hAnsi="仿宋_GB2312" w:cs="仿宋_GB2312" w:eastAsia="仿宋_GB2312"/>
                <w:sz w:val="24"/>
              </w:rPr>
              <w:t>2．《公路工程预算定额》（JTG/T 3832-2018）；</w:t>
            </w:r>
          </w:p>
          <w:p>
            <w:pPr>
              <w:pStyle w:val="null3"/>
              <w:jc w:val="both"/>
            </w:pPr>
            <w:r>
              <w:rPr>
                <w:rFonts w:ascii="仿宋_GB2312" w:hAnsi="仿宋_GB2312" w:cs="仿宋_GB2312" w:eastAsia="仿宋_GB2312"/>
                <w:sz w:val="24"/>
              </w:rPr>
              <w:t>3．《公路工程机械台班费用定额》（JTG/T 3833-2018）；</w:t>
            </w:r>
          </w:p>
          <w:p>
            <w:pPr>
              <w:pStyle w:val="null3"/>
              <w:jc w:val="both"/>
            </w:pPr>
            <w:r>
              <w:rPr>
                <w:rFonts w:ascii="仿宋_GB2312" w:hAnsi="仿宋_GB2312" w:cs="仿宋_GB2312" w:eastAsia="仿宋_GB2312"/>
                <w:sz w:val="24"/>
              </w:rPr>
              <w:t>4．陕西省交通运输厅关于印发《＜公路工程建设项目投资估算编制办法＞＜公路工程建设项目概算预算编制办法＞补充规定》的通知（陕交发〔2019〕93 号文件）；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湘水镇海棠寺村道路建设革命老区项目</w:t>
            </w:r>
            <w:r>
              <w:rPr>
                <w:rFonts w:ascii="仿宋_GB2312" w:hAnsi="仿宋_GB2312" w:cs="仿宋_GB2312" w:eastAsia="仿宋_GB2312"/>
                <w:sz w:val="24"/>
              </w:rPr>
              <w:t>》施工图设计图纸；</w:t>
            </w:r>
          </w:p>
          <w:p>
            <w:pPr>
              <w:pStyle w:val="null3"/>
              <w:jc w:val="both"/>
            </w:pPr>
            <w:r>
              <w:rPr>
                <w:rFonts w:ascii="仿宋_GB2312" w:hAnsi="仿宋_GB2312" w:cs="仿宋_GB2312" w:eastAsia="仿宋_GB2312"/>
              </w:rPr>
              <w:t>二、</w:t>
            </w:r>
          </w:p>
          <w:p>
            <w:pPr>
              <w:pStyle w:val="null3"/>
              <w:jc w:val="both"/>
            </w:pPr>
            <w:r>
              <w:rPr>
                <w:rFonts w:ascii="仿宋_GB2312" w:hAnsi="仿宋_GB2312" w:cs="仿宋_GB2312" w:eastAsia="仿宋_GB2312"/>
                <w:sz w:val="24"/>
              </w:rPr>
              <w:t>直接费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1、人工费:根据陕西省交通运输关于印发《&lt;公路工程建设项目投资估算编制办法&gt;&lt;公路工程建设项目概算预算编制办法&gt;补充规定》陕交发[2019]93文件的通知，公路工程生产工人人工费标准为105.89元/工日。</w:t>
            </w:r>
          </w:p>
          <w:p>
            <w:pPr>
              <w:pStyle w:val="null3"/>
              <w:jc w:val="both"/>
            </w:pPr>
            <w:r>
              <w:rPr>
                <w:rFonts w:ascii="仿宋_GB2312" w:hAnsi="仿宋_GB2312" w:cs="仿宋_GB2312" w:eastAsia="仿宋_GB2312"/>
                <w:sz w:val="24"/>
              </w:rPr>
              <w:t>2、材料单价计取</w:t>
            </w:r>
            <w:r>
              <w:rPr>
                <w:rFonts w:ascii="仿宋_GB2312" w:hAnsi="仿宋_GB2312" w:cs="仿宋_GB2312" w:eastAsia="仿宋_GB2312"/>
                <w:sz w:val="24"/>
              </w:rPr>
              <w:t>：</w:t>
            </w:r>
            <w:r>
              <w:rPr>
                <w:rFonts w:ascii="仿宋_GB2312" w:hAnsi="仿宋_GB2312" w:cs="仿宋_GB2312" w:eastAsia="仿宋_GB2312"/>
                <w:sz w:val="24"/>
              </w:rPr>
              <w:t>外购材料及部分地方材料单价根据陕西省交通厅发布的《陕西省</w:t>
            </w:r>
            <w:r>
              <w:rPr>
                <w:rFonts w:ascii="仿宋_GB2312" w:hAnsi="仿宋_GB2312" w:cs="仿宋_GB2312" w:eastAsia="仿宋_GB2312"/>
                <w:sz w:val="24"/>
              </w:rPr>
              <w:t>2025年</w:t>
            </w:r>
            <w:r>
              <w:rPr>
                <w:rFonts w:ascii="仿宋_GB2312" w:hAnsi="仿宋_GB2312" w:cs="仿宋_GB2312" w:eastAsia="仿宋_GB2312"/>
                <w:sz w:val="24"/>
              </w:rPr>
              <w:t>6</w:t>
            </w:r>
            <w:r>
              <w:rPr>
                <w:rFonts w:ascii="仿宋_GB2312" w:hAnsi="仿宋_GB2312" w:cs="仿宋_GB2312" w:eastAsia="仿宋_GB2312"/>
                <w:sz w:val="24"/>
              </w:rPr>
              <w:t>月汉中地区公路工程主要材料价格信息》并结合实地调查价格加运至工地的运杂费计算，材料单价均按陕交发</w:t>
            </w:r>
            <w:r>
              <w:rPr>
                <w:rFonts w:ascii="仿宋_GB2312" w:hAnsi="仿宋_GB2312" w:cs="仿宋_GB2312" w:eastAsia="仿宋_GB2312"/>
                <w:sz w:val="24"/>
              </w:rPr>
              <w:t>[2016]475号文件及交办公路[2016]66号文规定计算。</w:t>
            </w:r>
          </w:p>
          <w:p>
            <w:pPr>
              <w:pStyle w:val="null3"/>
              <w:jc w:val="both"/>
            </w:pPr>
            <w:r>
              <w:rPr>
                <w:rFonts w:ascii="仿宋_GB2312" w:hAnsi="仿宋_GB2312" w:cs="仿宋_GB2312" w:eastAsia="仿宋_GB2312"/>
                <w:sz w:val="24"/>
              </w:rPr>
              <w:t>3、机械费:按《公路工程机械班费用定额》(JTG/T3833-2018)执行，车船使用税按2012年1月10日陕西省人民政府令第153号公布的《陕西省车船税征收办法》计算</w:t>
            </w:r>
            <w:r>
              <w:rPr>
                <w:rFonts w:ascii="仿宋_GB2312" w:hAnsi="仿宋_GB2312" w:cs="仿宋_GB2312" w:eastAsia="仿宋_GB2312"/>
                <w:sz w:val="24"/>
              </w:rPr>
              <w:t>；</w:t>
            </w:r>
            <w:r>
              <w:rPr>
                <w:rFonts w:ascii="仿宋_GB2312" w:hAnsi="仿宋_GB2312" w:cs="仿宋_GB2312" w:eastAsia="仿宋_GB2312"/>
                <w:sz w:val="24"/>
              </w:rPr>
              <w:t>不变费用按交办公路</w:t>
            </w:r>
            <w:r>
              <w:rPr>
                <w:rFonts w:ascii="仿宋_GB2312" w:hAnsi="仿宋_GB2312" w:cs="仿宋_GB2312" w:eastAsia="仿宋_GB2312"/>
                <w:sz w:val="24"/>
              </w:rPr>
              <w:t>[2016]66号文规定调整，可变费用中汽油、柴油单价按202</w:t>
            </w:r>
            <w:r>
              <w:rPr>
                <w:rFonts w:ascii="仿宋_GB2312" w:hAnsi="仿宋_GB2312" w:cs="仿宋_GB2312" w:eastAsia="仿宋_GB2312"/>
                <w:sz w:val="24"/>
              </w:rPr>
              <w:t>5</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月公布的陕西地区最新市场除税价计算。</w:t>
            </w:r>
          </w:p>
          <w:p>
            <w:pPr>
              <w:pStyle w:val="null3"/>
              <w:jc w:val="both"/>
            </w:pPr>
            <w:r>
              <w:rPr>
                <w:rFonts w:ascii="仿宋_GB2312" w:hAnsi="仿宋_GB2312" w:cs="仿宋_GB2312" w:eastAsia="仿宋_GB2312"/>
                <w:sz w:val="24"/>
              </w:rPr>
              <w:t>4、措施费、企业管理费及规费:冬季施工增加费按准备准二区计取；雨季施工增加费按雨I区3个月计取；夜间施工增加费、高原地区施工增加费、风沙地区施工增加费、沿海地区施工增加费按《编制办法》规定不计取；行车干扰费施工增加费按《编制办法》规定不计取；安全生产费、施工辅助费、工地转移费和企业管理费的基本费用、主副食运费补贴、财务费用按《编制办法》规定计取；养老保险费费率16%,失业保险费费率0.7%,医疗保险费费率7.25%,住房公积金费率8.5%,工伤保险费费率0.91%，规费合计为33.36%。工地转移里程按地级市至施工路段距离计算，距离在50km以内的工程按50km计算;主副食运输综合里程按燃料、蔬菜、粮食、水实际运距综合计算，综合里程在3km以内的工程，按3km计取。</w:t>
            </w:r>
          </w:p>
          <w:p>
            <w:pPr>
              <w:pStyle w:val="null3"/>
              <w:jc w:val="both"/>
            </w:pPr>
            <w:r>
              <w:rPr>
                <w:rFonts w:ascii="仿宋_GB2312" w:hAnsi="仿宋_GB2312" w:cs="仿宋_GB2312" w:eastAsia="仿宋_GB2312"/>
                <w:sz w:val="24"/>
              </w:rPr>
              <w:t>5、利润:按定额直接费及措施费、企业管理费之和的7.42%计算。</w:t>
            </w:r>
          </w:p>
          <w:p>
            <w:pPr>
              <w:pStyle w:val="null3"/>
              <w:jc w:val="both"/>
            </w:pPr>
            <w:r>
              <w:rPr>
                <w:rFonts w:ascii="仿宋_GB2312" w:hAnsi="仿宋_GB2312" w:cs="仿宋_GB2312" w:eastAsia="仿宋_GB2312"/>
                <w:sz w:val="24"/>
              </w:rPr>
              <w:t>6、税金:按直接费、设备购置费、措施费、企业管理费、规费与利润之和的9%计算。</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安全目标:要求安全文明施工，无安全生产责任事故。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质量要求:工程交工验收的质量评定:合格:竣工验收的质量评定:合格。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工期：45日历天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质保期：2年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参照《小交通量农村公路工程技术标准》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供应商应授权合法的人员参加磋商会议，其中法定代表人直接参加的，须出具法人身份证原件，并与营业执照上信息一致；授权代表参加的，须出具法定代表人授权书及被授权人身份证原件；</w:t>
            </w:r>
          </w:p>
        </w:tc>
        <w:tc>
          <w:tcPr>
            <w:tcW w:type="dxa" w:w="3322"/>
          </w:tcPr>
          <w:p>
            <w:pPr>
              <w:pStyle w:val="null3"/>
            </w:pPr>
            <w:r>
              <w:rPr>
                <w:rFonts w:ascii="仿宋_GB2312" w:hAnsi="仿宋_GB2312" w:cs="仿宋_GB2312" w:eastAsia="仿宋_GB2312"/>
              </w:rPr>
              <w:t>供应商应授权合法的人员参加磋商会议，其中法定代表人直接参加的，须出具法人身份证原件，并与营业执照上信息一致；授权代表参加的，须出具法定代表人授权书及被授权人身份证原件；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拟派项目经理须具备公路工程专业二级（含二级）以上注册建造师资格和安全生产考核合格B证，且无在建项目</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标的清单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响应文件的签著盖章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标的清单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磋商报价唯一且未超出最高限价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磋商保证金缴纳凭证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投标无效条件:1、未满足磋商文件商务、技术要求或技术服务合同条款及共他商务要求应答表响应的内客中附有采购人不能接受的附加条件:2、投标内容出现漏项</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 供应商提供 2022 年 1 月 1 日至今完成的 “四级及以上公路建设项目” 业绩（包含水泥混凝土面层或水泥稳定砂砾基层施工内容） 二、评分标准 提供 1 个有效业绩（需同时提供加盖公章的中标通知书及合同协议书，合同需体现建设内容得 4 分，本项最多可得8分 仅提供中标通知书或仅提供合同，或材料未加盖公章的，对应业绩不计分。 缺项处理：未提供业绩材料的，得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近年类似业绩情况表</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1.人员配置与职责（4 分） ①（1-3 分）：项目经理部组织架构包含项目经理、项目总工、施工员 3 个岗位，仅简单描述岗位职责，未明确人员分工细节； ②（3.1-4 分）：组织架构完整（包含项目经理、项目总工、质量员、安全员、施工员、资料员 6 个核心岗位），岗位职责明确，且人员配置数量匹配项目需求。 2.人员稳定性承诺（2 分） 提供书面《人员稳定承诺函》，明确：① 投入本项目的项目经理、技术负责人等关键人员在施工期间不随意更换；② 若确需更换，需提前 15 天向采购人申请并提供同等资质人员替代方案； 提供承诺函的，得 1-2 分（承诺内容完整得 2 分，内容不完整得 1 分）；未提供承诺函的，得 0 分。 缺项处理：未提供人员安排方案的，得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项目拟派人员安排</w:t>
            </w:r>
          </w:p>
        </w:tc>
      </w:tr>
      <w:tr>
        <w:tc>
          <w:tcPr>
            <w:tcW w:type="dxa" w:w="831"/>
            <w:vMerge/>
          </w:tcPr>
          <w:p/>
        </w:tc>
        <w:tc>
          <w:tcPr>
            <w:tcW w:type="dxa" w:w="1661"/>
          </w:tcPr>
          <w:p>
            <w:pPr>
              <w:pStyle w:val="null3"/>
            </w:pPr>
            <w:r>
              <w:rPr>
                <w:rFonts w:ascii="仿宋_GB2312" w:hAnsi="仿宋_GB2312" w:cs="仿宋_GB2312" w:eastAsia="仿宋_GB2312"/>
              </w:rPr>
              <w:t>保修服务承诺</w:t>
            </w:r>
          </w:p>
        </w:tc>
        <w:tc>
          <w:tcPr>
            <w:tcW w:type="dxa" w:w="2492"/>
          </w:tcPr>
          <w:p>
            <w:pPr>
              <w:pStyle w:val="null3"/>
            </w:pPr>
            <w:r>
              <w:rPr>
                <w:rFonts w:ascii="仿宋_GB2312" w:hAnsi="仿宋_GB2312" w:cs="仿宋_GB2312" w:eastAsia="仿宋_GB2312"/>
              </w:rPr>
              <w:t>一、评审内容： 结合《公路工程质量保修办法》，针对项目路面、路基、配套工程的使用特性，评审质保期合理性、维修响应及时性、服务内容完整性。 二、评分标准 ①（0-3 分）：仅承诺 “按国家规定提供保修”，未明确具体质保期，未提及维修响应时间； ②（3.1-6 分）：保修承诺针对性强：① 质保期明确（路面工程、路基工程、排水/桥涵/防护工程）；② 维修响应及时（质保期内接到报修通知后 24 小时内到达现场，48 小时内出具维修方案）；③ 服务内容完整（包含定期回访计划：多久对道路平整度、排水功能进行检查，提供回访记录。 缺项处理：未提供保修服务承诺的，得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保修服务承诺</w:t>
            </w:r>
          </w:p>
        </w:tc>
      </w:tr>
      <w:tr>
        <w:tc>
          <w:tcPr>
            <w:tcW w:type="dxa" w:w="831"/>
            <w:vMerge/>
          </w:tcP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 结合项目建设内容、四级公路 Ⅱ 类标准、配套排水、桥涵、防护工程” 的特点，重点评审方案对路线针对性、难点解决方案、流程完整性的覆盖度。 二、评分标准 ①（1-3 分）：方案提及项目基本性质，但未区分主线与支线施工重点，未针对 “路面宽度 3.5 米、路基宽度 4.5 米” 的尺寸要求设计施工流程，仅简单描述 “施工准备 - 路基 - 路面 - 验收” 框架，无现场作业难点（如支线临近居民区域的施工干扰）解决方案； ②（3.1-5 分）：区分主线与支线施工范围，明确路面结构（18cm 混凝土面层 + 16cm 稳定砂砾基层）的施工顺序，提及现场作业难点（如雨季路基积水），但解决方案较笼统（如 “做好排水”），未包含桥涵、防护工程的施工衔接计划； ③（5.1-8 分）：清晰划分主线完成主线路基开挖、支线支线路基压实的分段施工计划，针对“两侧土路肩”的要求设计整形工艺，明确路面结构施工的关键技术参数（如混凝土振捣频率、基层碾压次数），且提供沿线排水边沟深度、桥涵基础处理（如换填碎石）、路基边坡防护坡度的专项施工方案，现场作业难点（如居民通行干扰）有具体应对措施（如设置临时通道）。 缺项处理：未提供总体施工方案的，得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围绕《公路工程质量检验评定标准》（JTG F80/1），结合项目路面、路基、配套工程的质量要求，评审管理体系完整性、检测措施针对性、标准合规性。 二、评分标准 ①（1-3 分）：提及 “建立质量管理体系”，但未明确组织机构（如未列出质量员岗位），仅笼统说明 “按规范检测”，未明确材料（如水泥、砂砾）进场检测项目、路面厚度、压实度的检测频率； ②（3.1-5 分）：明确质量管理体系包含项目经理、质量员等岗位，材料进场需提供合格证，提及路基压实度、路面平整度检测，但未明确检测标准（如压实度、平整度），或未包含质量问题整改流程； ③（5.1-7 分）：质量管理体系完整（含质量目标、岗位职责分工），材料管控措施具体，过程检测明确，验收标准完全符合四级公路Ⅱ类要求，且包含质量问题整改预案。 缺项处理：未提供质量保证措施的，得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施工质量保证措施</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 结合项目 “主线 + 支线 + 配套工程” 的施工内容，评审进度计划细化度、延误应对措施有效性。 二、评分标准 ①（1-3 分）：仅明确总工期45日历天，未拆分路基、路面、配套工程的阶段工期，无工期保证责任人，未提及延误应对措施； ②（3.1-5 分）：拆分阶段工期（如路基X天、路面X天、配套X天），明确工期保证责任人（如项目经理负责整体协调），提及 “增加人员” 应对延误，但未针对项目特点（如雨季影响路面施工）制定专项预案； ③（5.1-7 分）：进度计划细化至周（如第X周完成主线路基清表、第X周完成支线混凝土面层筑），工期保证体系包含 “责任人 + 监督机制”（如X周召开进度例会），针对延误风险（雨季、材料短缺）有具体措施，且进度计划与施工方案匹配（如混凝土养护X天的时间纳入路面施工工期）。 缺项处理：未提供工期保证措施的，得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工期保证体系及保证措施</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一、评审内容 结合农村道路施工特点（沿线有村民通行、设备交叉作业），评审人员防护、设备管理、现场管控、应急处置的完整性。 二、评分标准 ①（1-3 分）：仅提及 “施工人员佩戴安全帽”，未明确特种作业人员（压路机操作工、电工）需持有效证书，无设备安全检查制度，未设置现场警示措施； ②（3.1-5 分）：明确特种作业人员持证上岗要求，现场设置 “施工路段、禁止通行” 警示标志，提及设备定期检查，但未针对主线 / 支线施工时的村民通行设计临时疏导方案，无安全事故应急流程； ③（5.1-7 分）：安全生产管理体系包含 “岗前培训 + 每日交底”（附培训计划、交底记录模板），设备管理明确（压路机等设备每日检查限位装置、每月做专项检测），现场管控完善（施工路段设置围挡+夜间警示灯、主线 / 支线各设置临时村民通道并安排专人引导），且包含触电、机械伤害等事故的应急处置流程（如配备急救箱、明确就近医院联系方式）。 缺项处理：未提供安全生产措施的，得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安全生产管理体系及保证措施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结合革命老区农村环境要求，评审现场管理、人员管理、周边协调的具体措施。 二、评分标准 ①（1-3 分）：提及 “保持现场整洁”，但未明确材料堆放要求（如水泥、砂砾未分区），未提及施工人员着装规范，无与沿线村民的沟通机制； ②（3.1-5 分）：明确材料分区堆放（水泥防潮存放、砂砾覆盖防尘网），施工人员统一着装并佩戴工牌，建立村民沟通机制（如天召开X次协调会），现场设置项目公示牌（标明项目名称、工期、联系方式）。 缺项处理：未提供文明施工措施的，得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w:t>
            </w:r>
          </w:p>
        </w:tc>
      </w:tr>
      <w:tr>
        <w:tc>
          <w:tcPr>
            <w:tcW w:type="dxa" w:w="831"/>
            <w:vMerge/>
          </w:tcPr>
          <w:p/>
        </w:tc>
        <w:tc>
          <w:tcPr>
            <w:tcW w:type="dxa" w:w="1661"/>
          </w:tcPr>
          <w:p>
            <w:pPr>
              <w:pStyle w:val="null3"/>
            </w:pPr>
            <w:r>
              <w:rPr>
                <w:rFonts w:ascii="仿宋_GB2312" w:hAnsi="仿宋_GB2312" w:cs="仿宋_GB2312" w:eastAsia="仿宋_GB2312"/>
              </w:rPr>
              <w:t>施工环保措施及治污减霾保证措施</w:t>
            </w:r>
          </w:p>
        </w:tc>
        <w:tc>
          <w:tcPr>
            <w:tcW w:type="dxa" w:w="2492"/>
          </w:tcPr>
          <w:p>
            <w:pPr>
              <w:pStyle w:val="null3"/>
            </w:pPr>
            <w:r>
              <w:rPr>
                <w:rFonts w:ascii="仿宋_GB2312" w:hAnsi="仿宋_GB2312" w:cs="仿宋_GB2312" w:eastAsia="仿宋_GB2312"/>
              </w:rPr>
              <w:t>一、评审内容 针对项目施工产生的废水、扬尘、建筑垃圾，结合农村生态保护要求，评审环保措施针对性、治污减霾有效性。 二、评分标准 ①（1-3 分）：提及 “减少扬尘、处理废水”，但未明确具体措施（如未说明扬尘控制的洒水频率、废水处理的沉淀池规格），未提及建筑垃圾清运要求； ②（3.1-5 分）：扬尘控制明确（施工路段每日洒水X次、运输砂砾车辆加盖篷布），废水具体处理，建筑垃圾集中堆放并由有清运， 且包含施工后场地恢复措施（如土路肩播撒草籽绿化、清理施工遗留废料）。 缺项处理：未提供环保及治污减霾措施的，得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施工环保措施及治污减霾保证措施</w:t>
            </w:r>
          </w:p>
        </w:tc>
      </w:tr>
      <w:tr>
        <w:tc>
          <w:tcPr>
            <w:tcW w:type="dxa" w:w="831"/>
            <w:vMerge/>
          </w:tcPr>
          <w:p/>
        </w:tc>
        <w:tc>
          <w:tcPr>
            <w:tcW w:type="dxa" w:w="1661"/>
          </w:tcPr>
          <w:p>
            <w:pPr>
              <w:pStyle w:val="null3"/>
            </w:pPr>
            <w:r>
              <w:rPr>
                <w:rFonts w:ascii="仿宋_GB2312" w:hAnsi="仿宋_GB2312" w:cs="仿宋_GB2312" w:eastAsia="仿宋_GB2312"/>
              </w:rPr>
              <w:t>项目的材料及机具配备保证措施</w:t>
            </w:r>
          </w:p>
        </w:tc>
        <w:tc>
          <w:tcPr>
            <w:tcW w:type="dxa" w:w="2492"/>
          </w:tcPr>
          <w:p>
            <w:pPr>
              <w:pStyle w:val="null3"/>
            </w:pPr>
            <w:r>
              <w:rPr>
                <w:rFonts w:ascii="仿宋_GB2312" w:hAnsi="仿宋_GB2312" w:cs="仿宋_GB2312" w:eastAsia="仿宋_GB2312"/>
              </w:rPr>
              <w:t>一、评审内容 结合项目施工需求（路基开挖、路面浇筑、基层碾压），评审机具种类完整性、数量匹配性、材料供应稳定性。 二、评分标准 ①（1-3 分）：有机具设备投入计划，但未明确设备种类、数量，材料供应仅提及 “保证供应”，未明确供应商信息或储备量； ②（3.1-5 分）：机具设备计划完整，数量匹配项目规模，材料供应明确，且有材料质量抽检计划（如每批次材料进场后抽样检测）。 缺项处理：未提供材料及机具配备措施的，得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项目的材料及机具配备保证措施</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 针对项目可能面临的恶劣天气、自然灾害、特殊情况，评审应急方案针对性、响应及时性。 二、评分标准 ①（1-3 分）：提及 “制定应急方案”，但未区分突发事件类型，仅笼统说明 “启动应急响应”，无具体处置流程、应急物资清单； ②（3.1-6 分）：按突发事件类型制定专项方案： ① 恶劣天气：暴雨时停止路基施工，启用临时排水泵 ② 自然灾害：洪涝时组织设备转移至地势高处，提前与当地应急部门建立联动机制； ③ 特殊情况：政府重大活动或节假日期间，暂停主线 / 支线临近公共区域的施工，安排人员值守维护现场秩序； 同时明确应急响应流程（X小时内启动预案X小时内到达现场）、应急物资清单及责任人联系方式。 缺项处理：未提供突发事件应急措施的，得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针对突发事件应急保证措施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1、满足磋商文件要求且磋商响应最低的报价（最后的响应报价）为评标基准价，其价格分为满分。其他磋商供应商的价格分统一按照下列公式计算：磋商报价得分=（评标基准价/评标报价）×30； 2、注:异常低价处理：若磋商小组认为供应商的报价明显低于其他通过符合性审查供应商的报价，有可能影响服务质量或者不能诚信履约的，应当要求其在磋商现场合理的时间内提供书面说明，必要时提交相关证明材料；若供应商不能证明其报价合理性的，或证明材料经专家核查不符合实际市场行情（如材料单价低于当地同期建材信息价30%及以上）的，直接判定为无效报价，价格分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详见附件：近年类似业绩情况表</w:t>
      </w:r>
    </w:p>
    <w:p>
      <w:pPr>
        <w:pStyle w:val="null3"/>
        <w:ind w:firstLine="960"/>
      </w:pPr>
      <w:r>
        <w:rPr>
          <w:rFonts w:ascii="仿宋_GB2312" w:hAnsi="仿宋_GB2312" w:cs="仿宋_GB2312" w:eastAsia="仿宋_GB2312"/>
        </w:rPr>
        <w:t>详见附件：项目拟派人员安排</w:t>
      </w:r>
    </w:p>
    <w:p>
      <w:pPr>
        <w:pStyle w:val="null3"/>
        <w:ind w:firstLine="960"/>
      </w:pPr>
      <w:r>
        <w:rPr>
          <w:rFonts w:ascii="仿宋_GB2312" w:hAnsi="仿宋_GB2312" w:cs="仿宋_GB2312" w:eastAsia="仿宋_GB2312"/>
        </w:rPr>
        <w:t>详见附件：保修服务承诺</w:t>
      </w:r>
    </w:p>
    <w:p>
      <w:pPr>
        <w:pStyle w:val="null3"/>
        <w:ind w:firstLine="960"/>
      </w:pPr>
      <w:r>
        <w:rPr>
          <w:rFonts w:ascii="仿宋_GB2312" w:hAnsi="仿宋_GB2312" w:cs="仿宋_GB2312" w:eastAsia="仿宋_GB2312"/>
        </w:rPr>
        <w:t>详见附件：总体施工方案</w:t>
      </w:r>
    </w:p>
    <w:p>
      <w:pPr>
        <w:pStyle w:val="null3"/>
        <w:ind w:firstLine="960"/>
      </w:pPr>
      <w:r>
        <w:rPr>
          <w:rFonts w:ascii="仿宋_GB2312" w:hAnsi="仿宋_GB2312" w:cs="仿宋_GB2312" w:eastAsia="仿宋_GB2312"/>
        </w:rPr>
        <w:t>详见附件：施工质量保证措施</w:t>
      </w:r>
    </w:p>
    <w:p>
      <w:pPr>
        <w:pStyle w:val="null3"/>
        <w:ind w:firstLine="960"/>
      </w:pPr>
      <w:r>
        <w:rPr>
          <w:rFonts w:ascii="仿宋_GB2312" w:hAnsi="仿宋_GB2312" w:cs="仿宋_GB2312" w:eastAsia="仿宋_GB2312"/>
        </w:rPr>
        <w:t>详见附件：工期保证体系及保证措施</w:t>
      </w:r>
    </w:p>
    <w:p>
      <w:pPr>
        <w:pStyle w:val="null3"/>
        <w:ind w:firstLine="960"/>
      </w:pPr>
      <w:r>
        <w:rPr>
          <w:rFonts w:ascii="仿宋_GB2312" w:hAnsi="仿宋_GB2312" w:cs="仿宋_GB2312" w:eastAsia="仿宋_GB2312"/>
        </w:rPr>
        <w:t>详见附件：安全生产管理体系及保证措施</w:t>
      </w:r>
    </w:p>
    <w:p>
      <w:pPr>
        <w:pStyle w:val="null3"/>
        <w:ind w:firstLine="960"/>
      </w:pPr>
      <w:r>
        <w:rPr>
          <w:rFonts w:ascii="仿宋_GB2312" w:hAnsi="仿宋_GB2312" w:cs="仿宋_GB2312" w:eastAsia="仿宋_GB2312"/>
        </w:rPr>
        <w:t>详见附件：文明施工措施</w:t>
      </w:r>
    </w:p>
    <w:p>
      <w:pPr>
        <w:pStyle w:val="null3"/>
        <w:ind w:firstLine="960"/>
      </w:pPr>
      <w:r>
        <w:rPr>
          <w:rFonts w:ascii="仿宋_GB2312" w:hAnsi="仿宋_GB2312" w:cs="仿宋_GB2312" w:eastAsia="仿宋_GB2312"/>
        </w:rPr>
        <w:t>详见附件：施工环保措施及治污减霾保证措施</w:t>
      </w:r>
    </w:p>
    <w:p>
      <w:pPr>
        <w:pStyle w:val="null3"/>
        <w:ind w:firstLine="960"/>
      </w:pPr>
      <w:r>
        <w:rPr>
          <w:rFonts w:ascii="仿宋_GB2312" w:hAnsi="仿宋_GB2312" w:cs="仿宋_GB2312" w:eastAsia="仿宋_GB2312"/>
        </w:rPr>
        <w:t>详见附件：项目的材料及机具配备保证措施</w:t>
      </w:r>
    </w:p>
    <w:p>
      <w:pPr>
        <w:pStyle w:val="null3"/>
        <w:ind w:firstLine="960"/>
      </w:pPr>
      <w:r>
        <w:rPr>
          <w:rFonts w:ascii="仿宋_GB2312" w:hAnsi="仿宋_GB2312" w:cs="仿宋_GB2312" w:eastAsia="仿宋_GB2312"/>
        </w:rPr>
        <w:t>详见附件：针对突发事件应急保证措施</w:t>
      </w:r>
    </w:p>
    <w:p>
      <w:pPr>
        <w:pStyle w:val="null3"/>
        <w:ind w:firstLine="960"/>
      </w:pPr>
      <w:r>
        <w:rPr>
          <w:rFonts w:ascii="仿宋_GB2312" w:hAnsi="仿宋_GB2312" w:cs="仿宋_GB2312" w:eastAsia="仿宋_GB2312"/>
        </w:rPr>
        <w:t>详见附件：磋商保证金缴纳凭证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