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版本号：HXCG-2025-HZ-08-0820250825001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法镇后河村道路桥梁建设革命老区项目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HXCG-2025-HZ-08-08</w:t>
      </w:r>
      <w:r>
        <w:br/>
      </w:r>
      <w:r>
        <w:br/>
      </w:r>
      <w:r>
        <w:br/>
      </w:r>
    </w:p>
    <w:p>
      <w:pPr>
        <w:pStyle w:val="null3"/>
        <w:jc w:val="center"/>
        <w:outlineLvl w:val="2"/>
      </w:pPr>
      <w:r>
        <w:rPr>
          <w:rFonts w:ascii="仿宋_GB2312" w:hAnsi="仿宋_GB2312" w:cs="仿宋_GB2312" w:eastAsia="仿宋_GB2312"/>
          <w:sz w:val="28"/>
          <w:b/>
        </w:rPr>
        <w:t>汉中市南郑区法镇人民政府</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汉中市南郑区法镇人民政府</w:t>
      </w:r>
      <w:r>
        <w:rPr>
          <w:rFonts w:ascii="仿宋_GB2312" w:hAnsi="仿宋_GB2312" w:cs="仿宋_GB2312" w:eastAsia="仿宋_GB2312"/>
        </w:rPr>
        <w:t>委托，拟对</w:t>
      </w:r>
      <w:r>
        <w:rPr>
          <w:rFonts w:ascii="仿宋_GB2312" w:hAnsi="仿宋_GB2312" w:cs="仿宋_GB2312" w:eastAsia="仿宋_GB2312"/>
        </w:rPr>
        <w:t>法镇后河村道路桥梁建设革命老区项目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HXCG-2025-HZ-08-08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法镇后河村道路桥梁建设革命老区项目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法镇后河村道路桥梁建设革命老区项目建设地点为法镇后河村，道路总长0.6Km,起止桩号由K0+000-K0+600,包含正交2*10m钢筋混凝土空心板桥1座，桥长23.94延米。道路设计标准为四级公路Ⅱ类，设计时速 15km/h，设计为水泥混凝土路面，路面宽度3.5米，路基宽度3.5m（行车道）+0.5mX2（土路肩），沿线完善沿线排水、桥涵、防护工程。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采购包1（法镇后河村道路桥梁建设革命老区项目）：属于专门面向中小企业采购。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企业法人、事业法人、其他组织，提供营业执照原件（事业单位须事业单位法人证、组织机构代码证等证明文件；其他组织应提供合法证明文件）；：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供应商应授权合法的人员参加磋商会议，其中法定代表人直接参加的，须出具法人身份证原件，并与营业执照上信息一致；授权代表参加的，须出具法定代表人授权书及被授权人身份证原件；：供应商应授权合法的人员参加磋商会议，其中法定代表人直接参加的，须出具法人身份证原件，并与营业执照上信息一致；授权代表参加的，须出具法定代表人授权书及被授权人身份证原件；</w:t>
      </w:r>
    </w:p>
    <w:p>
      <w:pPr>
        <w:pStyle w:val="null3"/>
      </w:pPr>
      <w:r>
        <w:rPr>
          <w:rFonts w:ascii="仿宋_GB2312" w:hAnsi="仿宋_GB2312" w:cs="仿宋_GB2312" w:eastAsia="仿宋_GB2312"/>
        </w:rPr>
        <w:t>3、供应商具有行政主管部门核发的公路工程施工总承包三级（含三级）及以上资质，且具有有效的安全生产许可证；：供应商具有行政主管部门核发的公路工程施工总承包三级（含三级）及以上资质，且具有有效的安全生产许可证；</w:t>
      </w:r>
    </w:p>
    <w:p>
      <w:pPr>
        <w:pStyle w:val="null3"/>
      </w:pPr>
      <w:r>
        <w:rPr>
          <w:rFonts w:ascii="仿宋_GB2312" w:hAnsi="仿宋_GB2312" w:cs="仿宋_GB2312" w:eastAsia="仿宋_GB2312"/>
        </w:rPr>
        <w:t>4、拟派项目经理须具备公路工程专业二级（含二级）以上注册建造师资格和安全生产考核合格B证，且无在建项目：拟派项目经理须具备公路工程专业二级（含二级）以上注册建造师资格和安全生产考核合格B证，且无在建项目</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6、本项目不接受联合体磋商：本项目不接受联合体磋商（提供非联合体声明）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汉中市南郑区法镇人民政府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汉中市南郑区法镇法镇街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汉中市南郑区法镇人民政府经办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13992630838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陕西省西安市经济技术开发区首创国际城八期 64栋楼 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18309161539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采购包1：1,288,106.00元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开户银行：中国农业银行股份有限公司汉中东一环路支行（行号：103799065106）</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取参照国家计委颁布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汉中市南郑区法镇人民政府</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汉中市南郑区法镇人民政府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汉中市南郑区法镇人民政府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联系电话：18309161539</w:t>
      </w:r>
    </w:p>
    <w:p>
      <w:pPr>
        <w:pStyle w:val="null3"/>
      </w:pPr>
      <w:r>
        <w:rPr>
          <w:rFonts w:ascii="仿宋_GB2312" w:hAnsi="仿宋_GB2312" w:cs="仿宋_GB2312" w:eastAsia="仿宋_GB2312"/>
        </w:rPr>
        <w:t>地址：陕西省西安市经济技术开发区首创国际城八期 64栋楼 307室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1,288,106.00</w:t>
      </w:r>
    </w:p>
    <w:p>
      <w:pPr>
        <w:pStyle w:val="null3"/>
      </w:pPr>
      <w:r>
        <w:rPr>
          <w:rFonts w:ascii="仿宋_GB2312" w:hAnsi="仿宋_GB2312" w:cs="仿宋_GB2312" w:eastAsia="仿宋_GB2312"/>
        </w:rPr>
        <w:t>采购包最高限价（元）: 1,288,106.00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法镇后河村道路桥梁建设革命老区项目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1,288,106.00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标的名称：法镇后河村道路桥梁建设革命老区项目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工程概况：</w:t>
            </w:r>
          </w:p>
          <w:p>
            <w:pPr>
              <w:pStyle w:val="null3"/>
              <w:ind w:firstLine="560"/>
              <w:jc w:val="both"/>
            </w:pPr>
            <w:r>
              <w:rPr>
                <w:rFonts w:ascii="仿宋_GB2312" w:hAnsi="仿宋_GB2312" w:cs="仿宋_GB2312" w:eastAsia="仿宋_GB2312"/>
                <w:sz w:val="28"/>
              </w:rPr>
              <w:t>法镇后河村道路桥梁建设革命老区项目建设地点为法镇后河村，道路总长</w:t>
            </w:r>
            <w:r>
              <w:rPr>
                <w:rFonts w:ascii="仿宋_GB2312" w:hAnsi="仿宋_GB2312" w:cs="仿宋_GB2312" w:eastAsia="仿宋_GB2312"/>
                <w:sz w:val="28"/>
              </w:rPr>
              <w:t>0.6Km,起止桩号由K0+000-K0+600,包含正交2*10m钢筋混凝土空心板桥1座，桥长23.94延米。道路设计标准为四级公路Ⅱ类，设计时速 15km/h，设计为水泥混凝土路面，路面宽度3.5米，路基宽度3.5m（行车道）+0.5mX2（土路肩），沿线完善沿线排水、桥涵、防护工程。</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、编制依据</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rPr>
              <w:t>1．《公路工程建设项目概算预算编制办法》（JTG 3830-2018），以下简称“编制办法”；</w:t>
            </w:r>
          </w:p>
          <w:p>
            <w:pPr>
              <w:pStyle w:val="null3"/>
              <w:ind w:firstLine="560"/>
              <w:jc w:val="both"/>
            </w:pPr>
            <w:r>
              <w:rPr>
                <w:rFonts w:ascii="仿宋_GB2312" w:hAnsi="仿宋_GB2312" w:cs="仿宋_GB2312" w:eastAsia="仿宋_GB2312"/>
                <w:sz w:val="28"/>
              </w:rPr>
              <w:t>2．《公路工程预算定额》（JTG/T 3832-2018）；</w:t>
            </w:r>
          </w:p>
          <w:p>
            <w:pPr>
              <w:pStyle w:val="null3"/>
              <w:ind w:firstLine="560"/>
              <w:jc w:val="both"/>
            </w:pPr>
            <w:r>
              <w:rPr>
                <w:rFonts w:ascii="仿宋_GB2312" w:hAnsi="仿宋_GB2312" w:cs="仿宋_GB2312" w:eastAsia="仿宋_GB2312"/>
                <w:sz w:val="28"/>
              </w:rPr>
              <w:t>3．《公路工程机械台班费用定额》（JTG/T 3833-2018）；</w:t>
            </w:r>
          </w:p>
          <w:p>
            <w:pPr>
              <w:pStyle w:val="null3"/>
              <w:ind w:firstLine="560"/>
              <w:jc w:val="both"/>
            </w:pPr>
            <w:r>
              <w:rPr>
                <w:rFonts w:ascii="仿宋_GB2312" w:hAnsi="仿宋_GB2312" w:cs="仿宋_GB2312" w:eastAsia="仿宋_GB2312"/>
                <w:sz w:val="28"/>
              </w:rPr>
              <w:t>4．陕西省交通运输厅关于印发《＜公路工程建设项目投资估算编制办法＞＜公路工程建设项目概算预算编制办法＞补充规定》的通知（陕交发〔2019〕93 号文件）；</w:t>
            </w:r>
          </w:p>
          <w:p>
            <w:pPr>
              <w:pStyle w:val="null3"/>
              <w:ind w:firstLine="560"/>
              <w:jc w:val="both"/>
            </w:pPr>
            <w:r>
              <w:rPr>
                <w:rFonts w:ascii="仿宋_GB2312" w:hAnsi="仿宋_GB2312" w:cs="仿宋_GB2312" w:eastAsia="仿宋_GB2312"/>
                <w:sz w:val="28"/>
              </w:rPr>
              <w:t>5．《法镇后河村道路桥梁建设革命老区项目》施工图设计图纸；</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、直接费</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rPr>
              <w:t>1、人工费:根据陕西省交通运输关于印发《&lt;公路工程建设项目投资估算编制办法&gt;&lt;公路工程建设项目概算预算编制办法&gt;补充规定》陕交发[2019]93文件的通知，公路工程生产工人人工费标准为105.89元/工日。</w:t>
            </w:r>
          </w:p>
          <w:p>
            <w:pPr>
              <w:pStyle w:val="null3"/>
              <w:ind w:firstLine="560"/>
              <w:jc w:val="both"/>
            </w:pPr>
            <w:r>
              <w:rPr>
                <w:rFonts w:ascii="仿宋_GB2312" w:hAnsi="仿宋_GB2312" w:cs="仿宋_GB2312" w:eastAsia="仿宋_GB2312"/>
                <w:sz w:val="28"/>
              </w:rPr>
              <w:t>2、材料单价计取：外购材料及部分地方材料单价根据陕西省交通厅发布的《陕西省2025年6月汉中地区公路工程主要材料价格信息》并结合实地调查价格加运至工地的运杂费计算，材料单价均按陕交发[2016]475号文件及交办公路[2016]66号文规定计算。</w:t>
            </w:r>
          </w:p>
          <w:p>
            <w:pPr>
              <w:pStyle w:val="null3"/>
              <w:ind w:firstLine="560"/>
              <w:jc w:val="both"/>
            </w:pPr>
            <w:r>
              <w:rPr>
                <w:rFonts w:ascii="仿宋_GB2312" w:hAnsi="仿宋_GB2312" w:cs="仿宋_GB2312" w:eastAsia="仿宋_GB2312"/>
                <w:sz w:val="28"/>
              </w:rPr>
              <w:t>3、机械费:按《公路工程机械班费用定额》(JTG/T3833-2018)执行，车船使用税按2012年1月10日陕西省人民政府令第153号公布的《陕西省车船税征收办法》计算；不变费用按交办公路[2016]66号文规定调整，可变费用中汽油、柴油单价按2025年6月公布的陕西地区最新市场除税价计算。</w:t>
            </w:r>
          </w:p>
          <w:p>
            <w:pPr>
              <w:pStyle w:val="null3"/>
              <w:ind w:firstLine="560"/>
              <w:jc w:val="both"/>
            </w:pPr>
            <w:r>
              <w:rPr>
                <w:rFonts w:ascii="仿宋_GB2312" w:hAnsi="仿宋_GB2312" w:cs="仿宋_GB2312" w:eastAsia="仿宋_GB2312"/>
                <w:sz w:val="28"/>
              </w:rPr>
              <w:t>4、措施费、企业管理费及规费:冬季施工增加费按准备准二区计取；雨季施工增加费按雨I区3个月计取；夜间施工增加费、高原地区施工增加费、风沙地区施工增加费、沿海地区施工增加费按《编制办法》规定不计取；行车干扰费施工增加费按《编制办法》规定不计取；安全生产费、施工辅助费、工地转移费和企业管理费的基本费用、主副食运费补贴、财务费用按《编制办法》规定计取；养老保险费费率16%,失业保险费费率0.7%,医疗保险费费率7.25%,住房公积金费率8.5%,工伤保险费费率0.91%，规费合计为33.36%。</w:t>
            </w:r>
          </w:p>
          <w:p>
            <w:pPr>
              <w:pStyle w:val="null3"/>
              <w:ind w:firstLine="560"/>
              <w:jc w:val="both"/>
            </w:pPr>
            <w:r>
              <w:rPr>
                <w:rFonts w:ascii="仿宋_GB2312" w:hAnsi="仿宋_GB2312" w:cs="仿宋_GB2312" w:eastAsia="仿宋_GB2312"/>
                <w:sz w:val="28"/>
              </w:rPr>
              <w:t>5、利润:按定额直接费及措施费、企业管理费之和的7.42%计算。</w:t>
            </w:r>
          </w:p>
          <w:p>
            <w:pPr>
              <w:pStyle w:val="null3"/>
              <w:ind w:firstLine="560"/>
              <w:jc w:val="both"/>
            </w:pPr>
            <w:r>
              <w:rPr>
                <w:rFonts w:ascii="仿宋_GB2312" w:hAnsi="仿宋_GB2312" w:cs="仿宋_GB2312" w:eastAsia="仿宋_GB2312"/>
                <w:sz w:val="28"/>
              </w:rPr>
              <w:t>6、税金:按直接费、设备购置费、措施费、企业管理费、规费与利润之和的9%计算。</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工期：</w:t>
            </w:r>
            <w:r>
              <w:rPr>
                <w:rFonts w:ascii="仿宋_GB2312" w:hAnsi="仿宋_GB2312" w:cs="仿宋_GB2312" w:eastAsia="仿宋_GB2312"/>
                <w:sz w:val="28"/>
              </w:rPr>
              <w:t>120日历天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安全目标</w:t>
            </w:r>
            <w:r>
              <w:rPr>
                <w:rFonts w:ascii="仿宋_GB2312" w:hAnsi="仿宋_GB2312" w:cs="仿宋_GB2312" w:eastAsia="仿宋_GB2312"/>
                <w:sz w:val="28"/>
              </w:rPr>
              <w:t>:要求安全文明施工，无安全生产责任事故。</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质量要求</w:t>
            </w:r>
            <w:r>
              <w:rPr>
                <w:rFonts w:ascii="仿宋_GB2312" w:hAnsi="仿宋_GB2312" w:cs="仿宋_GB2312" w:eastAsia="仿宋_GB2312"/>
                <w:sz w:val="28"/>
                <w:b/>
              </w:rPr>
              <w:t>:</w:t>
            </w:r>
            <w:r>
              <w:rPr>
                <w:rFonts w:ascii="仿宋_GB2312" w:hAnsi="仿宋_GB2312" w:cs="仿宋_GB2312" w:eastAsia="仿宋_GB2312"/>
                <w:sz w:val="28"/>
              </w:rPr>
              <w:t>工程交工验收的质量评定</w:t>
            </w:r>
            <w:r>
              <w:rPr>
                <w:rFonts w:ascii="仿宋_GB2312" w:hAnsi="仿宋_GB2312" w:cs="仿宋_GB2312" w:eastAsia="仿宋_GB2312"/>
                <w:sz w:val="28"/>
              </w:rPr>
              <w:t>:合格</w:t>
            </w:r>
            <w:r>
              <w:rPr>
                <w:rFonts w:ascii="仿宋_GB2312" w:hAnsi="仿宋_GB2312" w:cs="仿宋_GB2312" w:eastAsia="仿宋_GB2312"/>
                <w:sz w:val="28"/>
              </w:rPr>
              <w:t>；</w:t>
            </w:r>
            <w:r>
              <w:rPr>
                <w:rFonts w:ascii="仿宋_GB2312" w:hAnsi="仿宋_GB2312" w:cs="仿宋_GB2312" w:eastAsia="仿宋_GB2312"/>
                <w:sz w:val="28"/>
              </w:rPr>
              <w:t>竣工验收的质量评定</w:t>
            </w:r>
            <w:r>
              <w:rPr>
                <w:rFonts w:ascii="仿宋_GB2312" w:hAnsi="仿宋_GB2312" w:cs="仿宋_GB2312" w:eastAsia="仿宋_GB2312"/>
                <w:sz w:val="28"/>
              </w:rPr>
              <w:t>:合格。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供应商应授权合法的人员参加磋商会议，其中法定代表人直接参加的，须出具法人身份证原件，并与营业执照上信息一致；授权代表参加的，须出具法定代表人授权书及被授权人身份证原件；</w:t>
            </w:r>
          </w:p>
        </w:tc>
        <w:tc>
          <w:tcPr>
            <w:tcW w:type="dxa" w:w="3322"/>
          </w:tcPr>
          <w:p>
            <w:pPr>
              <w:pStyle w:val="null3"/>
            </w:pPr>
            <w:r>
              <w:rPr>
                <w:rFonts w:ascii="仿宋_GB2312" w:hAnsi="仿宋_GB2312" w:cs="仿宋_GB2312" w:eastAsia="仿宋_GB2312"/>
              </w:rPr>
              <w:t>供应商应授权合法的人员参加磋商会议，其中法定代表人直接参加的，须出具法人身份证原件，并与营业执照上信息一致；授权代表参加的，须出具法定代表人授权书及被授权人身份证原件；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响应文件上法定代表人或其委托代理人的签字齐全并加盖单位公章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技术服务合同条款及其他商务要求应答表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磋商保证金缴纳凭证</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投标人根据本项目的性质特点、区域现状、现场作业的难点、重点等内容进行的描述以及解决方案。 ①．方案较详实，能贴合实际、实用性一般，得 1-3分； ②．方案较详实，贴合实际、实用性较强，得3.1-5分； ③.方案详实、贴合实际、实用性强，得5.1-8 分； 此项未提供不得分。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总体施工方案</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①.工程质量管理体系及保证措施编制科学合理、 基本符合技术规范、质量标准得 1-3 分； ②．工程质量管理体系及保证措施编制科学较合理、较详尽、较符合技术规范、质量标准得 3.1-5 分； ③.工程质量管理体系及保证措施编制科学合理、完整详尽、全面符合技术规范、质量标准得 5.1-7 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①. 工期保证体系及保证措施基本满足施工要求， 可行性一般，得1-3 分； ②.工期保证体系及保证措施较合理，可行性较强，得3.1-5分； ③.工期保证体系及保证措施合理、可行性强，得5.1-7分;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工期保证体系及保证措施</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①.安全生产管理体系及保证措施基本合理，具有一定的可行性,得 1-3 分； ②.安全生产管理体系及保证措施较合理，可行性较强，得 3.1-5 分； ③.安全生产管理体系及保证措施合理、可行性强，得 5.1-7 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安全生产管理体系及保证措施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①．措施比较合理、针对性和实施性一般得1-3分；未提供不得分。 ②．措施有针对性、合理、可实施性强得3.1-5分；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文明施工措施</w:t>
            </w:r>
          </w:p>
        </w:tc>
      </w:tr>
      <w:tr>
        <w:tc>
          <w:tcPr>
            <w:tcW w:type="dxa" w:w="831"/>
            <w:vMerge/>
          </w:tcPr>
          <w:p/>
        </w:tc>
        <w:tc>
          <w:tcPr>
            <w:tcW w:type="dxa" w:w="1661"/>
          </w:tcPr>
          <w:p>
            <w:pPr>
              <w:pStyle w:val="null3"/>
            </w:pPr>
            <w:r>
              <w:rPr>
                <w:rFonts w:ascii="仿宋_GB2312" w:hAnsi="仿宋_GB2312" w:cs="仿宋_GB2312" w:eastAsia="仿宋_GB2312"/>
              </w:rPr>
              <w:t>施工环保措施及治污减霾保证措施</w:t>
            </w:r>
          </w:p>
        </w:tc>
        <w:tc>
          <w:tcPr>
            <w:tcW w:type="dxa" w:w="2492"/>
          </w:tcPr>
          <w:p>
            <w:pPr>
              <w:pStyle w:val="null3"/>
            </w:pPr>
            <w:r>
              <w:rPr>
                <w:rFonts w:ascii="仿宋_GB2312" w:hAnsi="仿宋_GB2312" w:cs="仿宋_GB2312" w:eastAsia="仿宋_GB2312"/>
              </w:rPr>
              <w:t>①．措施比较合理、针对性和实施性一般得1-3分；未提供不得分。 ②.措施有针对性、合理、可实施性强得3.1-5分；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施工环保措施及治污减霾保证措施</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①有机具设备投入计划，较合理、基本符合本工程特点得1-3分； ②．有机具设备投入计划，且合理可行、有针对性、符合本工程特点得3.1-5分；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项目的材料及机具配备保证措施</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根据投标人针对突发事件应急保障措施及迎检方案的可行性（包含恶劣天气影响、自然灾害及政府性重大活动，重大节假日等特殊情况制定应急处置方案等） ①应急保障措施及迎检方案有效、合理，具有一定实施性，得1-3分；； ②应急保障措施及迎检方案详尽、全面、有效、合理，可实施性强，得3.1-6分；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针对突发事件应急保证措施</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投标人提供自2022年1月至今完成过类似革命老区道路业绩或单项合同金额≥100万元以上等级为四级公路的业绩，提供一个得2.5分，最高可得5分； 评审依据：提供加盖公章的中标通知书、合同协议书，时间以加签订的合同协议书为准。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近年类似业绩情况表</w:t>
            </w:r>
          </w:p>
        </w:tc>
      </w:tr>
      <w:tr>
        <w:tc>
          <w:tcPr>
            <w:tcW w:type="dxa" w:w="831"/>
            <w:vMerge/>
          </w:tcPr>
          <w:p/>
        </w:tc>
        <w:tc>
          <w:tcPr>
            <w:tcW w:type="dxa" w:w="1661"/>
          </w:tcPr>
          <w:p>
            <w:pPr>
              <w:pStyle w:val="null3"/>
            </w:pPr>
            <w:r>
              <w:rPr>
                <w:rFonts w:ascii="仿宋_GB2312" w:hAnsi="仿宋_GB2312" w:cs="仿宋_GB2312" w:eastAsia="仿宋_GB2312"/>
              </w:rPr>
              <w:t>三大体系</w:t>
            </w:r>
          </w:p>
        </w:tc>
        <w:tc>
          <w:tcPr>
            <w:tcW w:type="dxa" w:w="2492"/>
          </w:tcPr>
          <w:p>
            <w:pPr>
              <w:pStyle w:val="null3"/>
            </w:pPr>
            <w:r>
              <w:rPr>
                <w:rFonts w:ascii="仿宋_GB2312" w:hAnsi="仿宋_GB2312" w:cs="仿宋_GB2312" w:eastAsia="仿宋_GB2312"/>
              </w:rPr>
              <w:t>质量管理体系、环境管理体系、职业安全健康管理体系认证证书:有1项有效的体系认证证书及网查截图的得1分，最多得3分，未提供不得分；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三大体系</w:t>
            </w:r>
          </w:p>
        </w:tc>
      </w:tr>
      <w:tr>
        <w:tc>
          <w:tcPr>
            <w:tcW w:type="dxa" w:w="831"/>
            <w:vMerge/>
          </w:tcPr>
          <w:p/>
        </w:tc>
        <w:tc>
          <w:tcPr>
            <w:tcW w:type="dxa" w:w="1661"/>
          </w:tcPr>
          <w:p>
            <w:pPr>
              <w:pStyle w:val="null3"/>
            </w:pPr>
            <w:r>
              <w:rPr>
                <w:rFonts w:ascii="仿宋_GB2312" w:hAnsi="仿宋_GB2312" w:cs="仿宋_GB2312" w:eastAsia="仿宋_GB2312"/>
              </w:rPr>
              <w:t>项目拟派人员安排</w:t>
            </w:r>
          </w:p>
        </w:tc>
        <w:tc>
          <w:tcPr>
            <w:tcW w:type="dxa" w:w="2492"/>
          </w:tcPr>
          <w:p>
            <w:pPr>
              <w:pStyle w:val="null3"/>
            </w:pPr>
            <w:r>
              <w:rPr>
                <w:rFonts w:ascii="仿宋_GB2312" w:hAnsi="仿宋_GB2312" w:cs="仿宋_GB2312" w:eastAsia="仿宋_GB2312"/>
              </w:rPr>
              <w:t>（1）①人员配置较合理，职责较明确得1-3分；②组织结构完整，人员配置合理，职责明确得3.1-5分；组织结构较完整，未提供不得分。 （2）投标人承诺保证投入本项目的人员数量和技术能力，安排好足够的高素质项目经理及相关技术人员进行本项目的施工工作，项目建设过程中不得随意更换人员，并提供承诺函得1分。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项目拟派人员安排</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①．根据项目情况提供质量保修承诺，质量保修承诺一般得0-3分； ②．质量保修承诺合理、有针对性得3.1-6分；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保修服务承诺</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经资格审查、符合性审查合格的磋商文件，其投标报价为有效投标报价。 1、上限为采购预算价，即报价大于上限价视为无效标； 2、以满足本次磋商文件要求的最低报价为评审基准价，其价格为满分； 3、不享有政策优惠条件的投标投标人报价得分=（评审基准价/报价）×30。 4.本项目为专门面向中小企业项目，专门面向中小企业采购的项目，不再执行价格评审优惠的扶持政策。 5.为保证项目质量，投标人报价若低于招标采购预算的 80%，须对报价合理性及成本构成做书面说明（如报价成本分析），如未能提供有效证明，将被视为低于成本报价而报价无效。（投标报价评审只评投标总价）。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详见附件：磋商保证金缴纳凭证</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详见附件：总体施工方案</w:t>
      </w:r>
    </w:p>
    <w:p>
      <w:pPr>
        <w:pStyle w:val="null3"/>
        <w:ind w:firstLine="960"/>
      </w:pPr>
      <w:r>
        <w:rPr>
          <w:rFonts w:ascii="仿宋_GB2312" w:hAnsi="仿宋_GB2312" w:cs="仿宋_GB2312" w:eastAsia="仿宋_GB2312"/>
        </w:rPr>
        <w:t>详见附件：施工质量保证措施</w:t>
      </w:r>
    </w:p>
    <w:p>
      <w:pPr>
        <w:pStyle w:val="null3"/>
        <w:ind w:firstLine="960"/>
      </w:pPr>
      <w:r>
        <w:rPr>
          <w:rFonts w:ascii="仿宋_GB2312" w:hAnsi="仿宋_GB2312" w:cs="仿宋_GB2312" w:eastAsia="仿宋_GB2312"/>
        </w:rPr>
        <w:t>详见附件：工期保证体系及保证措施</w:t>
      </w:r>
    </w:p>
    <w:p>
      <w:pPr>
        <w:pStyle w:val="null3"/>
        <w:ind w:firstLine="960"/>
      </w:pPr>
      <w:r>
        <w:rPr>
          <w:rFonts w:ascii="仿宋_GB2312" w:hAnsi="仿宋_GB2312" w:cs="仿宋_GB2312" w:eastAsia="仿宋_GB2312"/>
        </w:rPr>
        <w:t>详见附件：安全生产管理体系及保证措施</w:t>
      </w:r>
    </w:p>
    <w:p>
      <w:pPr>
        <w:pStyle w:val="null3"/>
        <w:ind w:firstLine="960"/>
      </w:pPr>
      <w:r>
        <w:rPr>
          <w:rFonts w:ascii="仿宋_GB2312" w:hAnsi="仿宋_GB2312" w:cs="仿宋_GB2312" w:eastAsia="仿宋_GB2312"/>
        </w:rPr>
        <w:t>详见附件：文明施工措施</w:t>
      </w:r>
    </w:p>
    <w:p>
      <w:pPr>
        <w:pStyle w:val="null3"/>
        <w:ind w:firstLine="960"/>
      </w:pPr>
      <w:r>
        <w:rPr>
          <w:rFonts w:ascii="仿宋_GB2312" w:hAnsi="仿宋_GB2312" w:cs="仿宋_GB2312" w:eastAsia="仿宋_GB2312"/>
        </w:rPr>
        <w:t>详见附件：施工环保措施及治污减霾保证措施</w:t>
      </w:r>
    </w:p>
    <w:p>
      <w:pPr>
        <w:pStyle w:val="null3"/>
        <w:ind w:firstLine="960"/>
      </w:pPr>
      <w:r>
        <w:rPr>
          <w:rFonts w:ascii="仿宋_GB2312" w:hAnsi="仿宋_GB2312" w:cs="仿宋_GB2312" w:eastAsia="仿宋_GB2312"/>
        </w:rPr>
        <w:t>详见附件：项目的材料及机具配备保证措施</w:t>
      </w:r>
    </w:p>
    <w:p>
      <w:pPr>
        <w:pStyle w:val="null3"/>
        <w:ind w:firstLine="960"/>
      </w:pPr>
      <w:r>
        <w:rPr>
          <w:rFonts w:ascii="仿宋_GB2312" w:hAnsi="仿宋_GB2312" w:cs="仿宋_GB2312" w:eastAsia="仿宋_GB2312"/>
        </w:rPr>
        <w:t>详见附件：针对突发事件应急保证措施</w:t>
      </w:r>
    </w:p>
    <w:p>
      <w:pPr>
        <w:pStyle w:val="null3"/>
        <w:ind w:firstLine="960"/>
      </w:pPr>
      <w:r>
        <w:rPr>
          <w:rFonts w:ascii="仿宋_GB2312" w:hAnsi="仿宋_GB2312" w:cs="仿宋_GB2312" w:eastAsia="仿宋_GB2312"/>
        </w:rPr>
        <w:t>详见附件：近年类似业绩情况表</w:t>
      </w:r>
    </w:p>
    <w:p>
      <w:pPr>
        <w:pStyle w:val="null3"/>
        <w:ind w:firstLine="960"/>
      </w:pPr>
      <w:r>
        <w:rPr>
          <w:rFonts w:ascii="仿宋_GB2312" w:hAnsi="仿宋_GB2312" w:cs="仿宋_GB2312" w:eastAsia="仿宋_GB2312"/>
        </w:rPr>
        <w:t>详见附件：项目拟派人员安排</w:t>
      </w:r>
    </w:p>
    <w:p>
      <w:pPr>
        <w:pStyle w:val="null3"/>
        <w:ind w:firstLine="960"/>
      </w:pPr>
      <w:r>
        <w:rPr>
          <w:rFonts w:ascii="仿宋_GB2312" w:hAnsi="仿宋_GB2312" w:cs="仿宋_GB2312" w:eastAsia="仿宋_GB2312"/>
        </w:rPr>
        <w:t>详见附件：保修服务承诺</w:t>
      </w:r>
    </w:p>
    <w:p>
      <w:pPr>
        <w:pStyle w:val="null3"/>
        <w:ind w:firstLine="960"/>
      </w:pPr>
      <w:r>
        <w:rPr>
          <w:rFonts w:ascii="仿宋_GB2312" w:hAnsi="仿宋_GB2312" w:cs="仿宋_GB2312" w:eastAsia="仿宋_GB2312"/>
        </w:rPr>
        <w:t>详见附件：三大体系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