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版本号：ZGHJ-HZ-202506001.1B120250728001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2025年南郑区青树镇潘家沟村蛋鸡养殖设备采购项目(二次)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ZGHJ-HZ-202506001.1B1</w:t>
      </w:r>
      <w:r>
        <w:br/>
      </w:r>
      <w:r>
        <w:br/>
      </w:r>
      <w:r>
        <w:br/>
      </w:r>
    </w:p>
    <w:p>
      <w:pPr>
        <w:pStyle w:val="null3"/>
        <w:jc w:val="center"/>
        <w:outlineLvl w:val="2"/>
      </w:pPr>
      <w:r>
        <w:rPr>
          <w:rFonts w:ascii="仿宋_GB2312" w:hAnsi="仿宋_GB2312" w:cs="仿宋_GB2312" w:eastAsia="仿宋_GB2312"/>
          <w:sz w:val="28"/>
          <w:b/>
        </w:rPr>
        <w:t>汉中市南郑区青树镇人民政府</w:t>
      </w:r>
    </w:p>
    <w:p>
      <w:pPr>
        <w:pStyle w:val="null3"/>
        <w:jc w:val="center"/>
        <w:outlineLvl w:val="2"/>
      </w:pPr>
      <w:r>
        <w:rPr>
          <w:rFonts w:ascii="仿宋_GB2312" w:hAnsi="仿宋_GB2312" w:cs="仿宋_GB2312" w:eastAsia="仿宋_GB2312"/>
          <w:sz w:val="28"/>
          <w:b/>
        </w:rPr>
        <w:t>中恭鸿建项目管理有限公司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中恭鸿建项目管理有限公司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汉中市南郑区青树镇人民政府</w:t>
      </w:r>
      <w:r>
        <w:rPr>
          <w:rFonts w:ascii="仿宋_GB2312" w:hAnsi="仿宋_GB2312" w:cs="仿宋_GB2312" w:eastAsia="仿宋_GB2312"/>
        </w:rPr>
        <w:t>委托，拟对</w:t>
      </w:r>
      <w:r>
        <w:rPr>
          <w:rFonts w:ascii="仿宋_GB2312" w:hAnsi="仿宋_GB2312" w:cs="仿宋_GB2312" w:eastAsia="仿宋_GB2312"/>
        </w:rPr>
        <w:t>2025年南郑区青树镇潘家沟村蛋鸡养殖设备采购项目(二次)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ZGHJ-HZ-202506001.1B1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2025年南郑区青树镇潘家沟村蛋鸡养殖设备采购项目(二次)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青树镇潘家沟村蛋鸡养殖设备采购，详见谈判文件第三章采购要求及具体内容。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采购包1（2025年南郑区青树镇潘家沟村蛋鸡养殖设备采购项目）：属于专门面向中小企业采购。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须为具有独立承担民事责任能力的法人、其他组织或自然人：供应商需在项目电子化交易系统中提供具有独立承担民事责任能力的法人、其他组织或自然人，并出具合法有效的营业执照或事业单位法人证书等国家规定的相关证明，自然人参与的提供其身份证明并进行电子签章</w:t>
      </w:r>
    </w:p>
    <w:p>
      <w:pPr>
        <w:pStyle w:val="null3"/>
      </w:pPr>
      <w:r>
        <w:rPr>
          <w:rFonts w:ascii="仿宋_GB2312" w:hAnsi="仿宋_GB2312" w:cs="仿宋_GB2312" w:eastAsia="仿宋_GB2312"/>
        </w:rPr>
        <w:t>2、供应商应授权合法的人员参加谈判全过程：供应商需在项目电子化交易系统中提供法定代表人身份证明书和法定代表人授权书及被授权人身份证扫描件（法定代表人直接参加投标只须提供法定代表人身份证明书及身份证扫描件）并进行电子签章</w:t>
      </w:r>
    </w:p>
    <w:p>
      <w:pPr>
        <w:pStyle w:val="null3"/>
      </w:pPr>
      <w:r>
        <w:rPr>
          <w:rFonts w:ascii="仿宋_GB2312" w:hAnsi="仿宋_GB2312" w:cs="仿宋_GB2312" w:eastAsia="仿宋_GB2312"/>
        </w:rPr>
        <w:t>3、汉中市政府采购供应商资格承诺函：供应商需在项目电子化交易系统中按照汉中市财政局《关于全面推行政府采购供应商基本资格条件承诺制的通知》（汉采办采管〔2024〕20号）文件要求，提供资格承诺函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汉中市南郑区青树镇人民政府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青树镇南湖路18号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汉中市南郑区青树镇人民政府经办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0916-5623103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中恭鸿建项目管理有限公司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汉中市汉台区前进东路朱家营53号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0916-8817667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采购包1：924,000.00元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代理服务费收费标准：代理服务费收费标准：按国家计委颁发的《招标代理服务收费管理暂行办法》（计价格 [2002]1980号）、国家发展改革委员会办公厅颁发的《关于招标代理服务收费有关问题的通知 》（发改办价格[2003]857号）和《国家发展改革委关于降低部分建设项目收费标准规范收费 行为等有关问题的通知》（发改价格[2011]534号）文件的有关规定收取。成交人承担招标代 理服务费，成交供应商在领取成交通知书时，须向采购代理机构一次性支付代理服务费。代理 服务费的具体金额后续见本项目采购结果公告。</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汉中市南郑区青树镇人民政府</w:t>
      </w:r>
      <w:r>
        <w:rPr>
          <w:rFonts w:ascii="仿宋_GB2312" w:hAnsi="仿宋_GB2312" w:cs="仿宋_GB2312" w:eastAsia="仿宋_GB2312"/>
        </w:rPr>
        <w:t>和</w:t>
      </w:r>
      <w:r>
        <w:rPr>
          <w:rFonts w:ascii="仿宋_GB2312" w:hAnsi="仿宋_GB2312" w:cs="仿宋_GB2312" w:eastAsia="仿宋_GB2312"/>
        </w:rPr>
        <w:t>中恭鸿建项目管理有限公司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汉中市南郑区青树镇人民政府</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中恭鸿建项目管理有限公司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汉中市南郑区青树镇人民政府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中恭鸿建项目管理有限公司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标的物质量达到国家相关标准</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中恭鸿建项目管理有限公司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中恭鸿建项目管理有限公司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中恭鸿建项目管理有限公司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联系人：王女士</w:t>
      </w:r>
    </w:p>
    <w:p>
      <w:pPr>
        <w:pStyle w:val="null3"/>
      </w:pPr>
      <w:r>
        <w:rPr>
          <w:rFonts w:ascii="仿宋_GB2312" w:hAnsi="仿宋_GB2312" w:cs="仿宋_GB2312" w:eastAsia="仿宋_GB2312"/>
        </w:rPr>
        <w:t>联系电话：0916-8817667</w:t>
      </w:r>
    </w:p>
    <w:p>
      <w:pPr>
        <w:pStyle w:val="null3"/>
      </w:pPr>
      <w:r>
        <w:rPr>
          <w:rFonts w:ascii="仿宋_GB2312" w:hAnsi="仿宋_GB2312" w:cs="仿宋_GB2312" w:eastAsia="仿宋_GB2312"/>
        </w:rPr>
        <w:t>地址：汉中市汉台区前进东路朱家营53号</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本项目位于汉中市南郑区青树镇潘家沟村，须购置存栏2万羽蛋鸡全自动笼养智能化设施设备等。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924,000.00</w:t>
      </w:r>
    </w:p>
    <w:p>
      <w:pPr>
        <w:pStyle w:val="null3"/>
      </w:pPr>
      <w:r>
        <w:rPr>
          <w:rFonts w:ascii="仿宋_GB2312" w:hAnsi="仿宋_GB2312" w:cs="仿宋_GB2312" w:eastAsia="仿宋_GB2312"/>
        </w:rPr>
        <w:t>采购包最高限价（元）: 924,000.00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青树镇潘家沟村蛋鸡养殖设备采购项目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924,000.00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标的名称：青树镇潘家沟村蛋鸡养殖设备采购项目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笼网系统111组：</w:t>
            </w:r>
            <w:r>
              <w:br/>
            </w:r>
            <w:r>
              <w:rPr>
                <w:rFonts w:ascii="仿宋_GB2312" w:hAnsi="仿宋_GB2312" w:cs="仿宋_GB2312" w:eastAsia="仿宋_GB2312"/>
              </w:rPr>
              <w:t xml:space="preserve"> 1、由主笼架、鸡笼、食槽以及护蛋板、食槽托、粪带托架等笼网附件组成。</w:t>
            </w:r>
            <w:r>
              <w:br/>
            </w:r>
            <w:r>
              <w:rPr>
                <w:rFonts w:ascii="仿宋_GB2312" w:hAnsi="仿宋_GB2312" w:cs="仿宋_GB2312" w:eastAsia="仿宋_GB2312"/>
              </w:rPr>
              <w:t xml:space="preserve"> 2、笼网材质：锌铝合金丝。</w:t>
            </w:r>
            <w:r>
              <w:br/>
            </w:r>
            <w:r>
              <w:rPr>
                <w:rFonts w:ascii="仿宋_GB2312" w:hAnsi="仿宋_GB2312" w:cs="仿宋_GB2312" w:eastAsia="仿宋_GB2312"/>
              </w:rPr>
              <w:t xml:space="preserve"> 3、主笼架尺寸250mm*280mm;★笼腿直径≥Φ2.0mm。全热镀笼网+拖底丝+笼门丝,食槽厚度≥1mm;挂笼板厚度≥1mm,粪带托梁板厚度≥1mm,食槽托厚度≥2mm,粪托顶部做成弧形,固定螺纹采用达克罗防腐处理或不锈钢材质,笼网丝直径≥Φ2㎜。</w:t>
            </w:r>
            <w:r>
              <w:br/>
            </w:r>
            <w:r>
              <w:rPr>
                <w:rFonts w:ascii="仿宋_GB2312" w:hAnsi="仿宋_GB2312" w:cs="仿宋_GB2312" w:eastAsia="仿宋_GB2312"/>
              </w:rPr>
              <w:t xml:space="preserve"> 4 、鸡笼：</w:t>
            </w:r>
            <w:r>
              <w:br/>
            </w:r>
            <w:r>
              <w:rPr>
                <w:rFonts w:ascii="仿宋_GB2312" w:hAnsi="仿宋_GB2312" w:cs="仿宋_GB2312" w:eastAsia="仿宋_GB2312"/>
              </w:rPr>
              <w:t xml:space="preserve"> ★（1）鸡笼尺寸：长≥1200mm宽≥1250mm高≥480mm ；</w:t>
            </w:r>
            <w:r>
              <w:br/>
            </w:r>
            <w:r>
              <w:rPr>
                <w:rFonts w:ascii="仿宋_GB2312" w:hAnsi="仿宋_GB2312" w:cs="仿宋_GB2312" w:eastAsia="仿宋_GB2312"/>
              </w:rPr>
              <w:t xml:space="preserve"> ★（2）笼子层距≥700mm；</w:t>
            </w:r>
            <w:r>
              <w:br/>
            </w:r>
            <w:r>
              <w:rPr>
                <w:rFonts w:ascii="仿宋_GB2312" w:hAnsi="仿宋_GB2312" w:cs="仿宋_GB2312" w:eastAsia="仿宋_GB2312"/>
              </w:rPr>
              <w:t xml:space="preserve"> （3）底网间距≤50㎜(纵丝)×≤70㎜(横丝)</w:t>
            </w:r>
            <w:r>
              <w:br/>
            </w:r>
            <w:r>
              <w:rPr>
                <w:rFonts w:ascii="仿宋_GB2312" w:hAnsi="仿宋_GB2312" w:cs="仿宋_GB2312" w:eastAsia="仿宋_GB2312"/>
              </w:rPr>
              <w:t xml:space="preserve"> （4）纵丝在下横丝在上、每格底网两侧各加一根横丝（防止育雏期漏鸡）； </w:t>
            </w:r>
            <w:r>
              <w:br/>
            </w:r>
            <w:r>
              <w:rPr>
                <w:rFonts w:ascii="仿宋_GB2312" w:hAnsi="仿宋_GB2312" w:cs="仿宋_GB2312" w:eastAsia="仿宋_GB2312"/>
              </w:rPr>
              <w:t xml:space="preserve"> 5、笼架处不能高于底网，底网间用C形钉固定； </w:t>
            </w:r>
            <w:r>
              <w:br/>
            </w:r>
            <w:r>
              <w:rPr>
                <w:rFonts w:ascii="仿宋_GB2312" w:hAnsi="仿宋_GB2312" w:cs="仿宋_GB2312" w:eastAsia="仿宋_GB2312"/>
              </w:rPr>
              <w:t xml:space="preserve"> 6、（1）底网承载力≥40公斤/㎡，底网拖杆为双杆；</w:t>
            </w:r>
            <w:r>
              <w:br/>
            </w:r>
            <w:r>
              <w:rPr>
                <w:rFonts w:ascii="仿宋_GB2312" w:hAnsi="仿宋_GB2312" w:cs="仿宋_GB2312" w:eastAsia="仿宋_GB2312"/>
              </w:rPr>
              <w:t xml:space="preserve"> ★（2）底网丝 、顶网丝直径≥Φ2.35mm；</w:t>
            </w:r>
            <w:r>
              <w:br/>
            </w:r>
            <w:r>
              <w:rPr>
                <w:rFonts w:ascii="仿宋_GB2312" w:hAnsi="仿宋_GB2312" w:cs="仿宋_GB2312" w:eastAsia="仿宋_GB2312"/>
              </w:rPr>
              <w:t xml:space="preserve"> 7 、★（1）中间隔网直径≥Φ2.4mm ，横向隔网竖丝间距≤20㎜；</w:t>
            </w:r>
            <w:r>
              <w:br/>
            </w:r>
            <w:r>
              <w:rPr>
                <w:rFonts w:ascii="仿宋_GB2312" w:hAnsi="仿宋_GB2312" w:cs="仿宋_GB2312" w:eastAsia="仿宋_GB2312"/>
              </w:rPr>
              <w:t xml:space="preserve"> （2）横向隔网每单元格1个，横向隔网与底网间用C形钉固定；</w:t>
            </w:r>
            <w:r>
              <w:br/>
            </w:r>
            <w:r>
              <w:rPr>
                <w:rFonts w:ascii="仿宋_GB2312" w:hAnsi="仿宋_GB2312" w:cs="仿宋_GB2312" w:eastAsia="仿宋_GB2312"/>
              </w:rPr>
              <w:t xml:space="preserve"> 8、喂料道侧笼门：（1）采用左右全开门设计；</w:t>
            </w:r>
            <w:r>
              <w:br/>
            </w:r>
            <w:r>
              <w:rPr>
                <w:rFonts w:ascii="仿宋_GB2312" w:hAnsi="仿宋_GB2312" w:cs="仿宋_GB2312" w:eastAsia="仿宋_GB2312"/>
              </w:rPr>
              <w:t xml:space="preserve"> ★（2）笼门丝直径≥Φ5.3mm；</w:t>
            </w:r>
            <w:r>
              <w:br/>
            </w:r>
            <w:r>
              <w:rPr>
                <w:rFonts w:ascii="仿宋_GB2312" w:hAnsi="仿宋_GB2312" w:cs="仿宋_GB2312" w:eastAsia="仿宋_GB2312"/>
              </w:rPr>
              <w:t xml:space="preserve"> ★（3）笼门穿丝直径≥Φ5.0mm ；</w:t>
            </w:r>
            <w:r>
              <w:br/>
            </w:r>
            <w:r>
              <w:rPr>
                <w:rFonts w:ascii="仿宋_GB2312" w:hAnsi="仿宋_GB2312" w:cs="仿宋_GB2312" w:eastAsia="仿宋_GB2312"/>
              </w:rPr>
              <w:t xml:space="preserve"> （4）笼门高220mm，笼门上端距粪带≤30㎜；</w:t>
            </w:r>
            <w:r>
              <w:br/>
            </w:r>
            <w:r>
              <w:rPr>
                <w:rFonts w:ascii="仿宋_GB2312" w:hAnsi="仿宋_GB2312" w:cs="仿宋_GB2312" w:eastAsia="仿宋_GB2312"/>
              </w:rPr>
              <w:t xml:space="preserve"> ★（5）粪带厚度≥1.2mm。</w:t>
            </w:r>
            <w:r>
              <w:br/>
            </w:r>
            <w:r>
              <w:rPr>
                <w:rFonts w:ascii="仿宋_GB2312" w:hAnsi="仿宋_GB2312" w:cs="仿宋_GB2312" w:eastAsia="仿宋_GB2312"/>
              </w:rPr>
              <w:t xml:space="preserve"> 9、食槽料槽平直，料槽接头、料槽堵头连接处密封，料槽支撑板采用热镀锌板厚度≥2㎜，承载能力≥70kg。 </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饮水系统1套：减压阀15个调节前后端水线压力，规格：DN-25mm.饮水器3330个，锥阀饮水器，每层6颗，材质：PVC石英沙。锥阀乳头，360°侧击出水。水线终端3套前端供水水管及配件，含头端总成，尾端排水管及配件,供水主管≥￠32，每个机头分管≥￠25，壁厚≥2mm。水管720米PVC养殖专用方管，含接头。1、方形饮水管，外径22㎜*22㎜，壁厚2㎜，带加强筋，白色PVC原生料；2、水线末端安装集中排污管路，方便冲刷水线,主水管￠32×2mm。水槽720米，V型接水槽，含接头，尺寸：4cm*4cm；过滤器1套过滤精度：≤  20微米，流量：≥10L/h，压力:0.3-5MPa。加药器1套：D25RE2，PVC管材，耐压为≥1.6Mpa，管路直径：16mm自吸泵：功率≥375W，扬程：≥3m。</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喂料系统1套：喂料机主机3套：钢丝绳牵引背负式行车，高精度匀料器方便调节，保证饲料的均匀，回料器自动收集头、尾端饲料，毛刷自动清理灰尘。1、背负式行车，每列2个料箱、载重≥200Kg、料箱带分层堵料装置，下料口带平料器；  2、料箱材质镀锌板，厚度≥1㎜；行车大架用≥40*80*3.0热镀锌方管焊接而成，总功率≥1.65kW。轨道288米热镀锌方管¢32mm*3mm*6cm轨道,含接头；上料搅笼22米，绞龙驱动上料，Φ90单出口料靴。输料装置Φ90pvc材质，接近开关控制器，螺旋弹簧绞龙,主料线长度约21米。料塔1个：料箱材质镀锌板，下椎体板厚≥1.2㎜，中围板厚≥1㎜，支腿厚度≥2.5mm，料塔高度≥6.65米，支腿4个，料塔承重：≥ 15 T。捡蛋主机3个材质：锌镁铝合金板框架，蓝色L型集蛋卡，含输蛋槽、鸡蛋分流装置，破、软蛋分离装置，捡蛋机主机侧板使用2.0mm锌镁铝合金板材冲压折弯成型；过滤破蛋率2‰以下。蛋带，蛋卡111个材质：尼龙，尺寸：2mm*10cm</w:t>
            </w:r>
          </w:p>
          <w:p>
            <w:pPr>
              <w:pStyle w:val="null3"/>
            </w:pPr>
            <w:r>
              <w:rPr>
                <w:rFonts w:ascii="仿宋_GB2312" w:hAnsi="仿宋_GB2312" w:cs="仿宋_GB2312" w:eastAsia="仿宋_GB2312"/>
              </w:rPr>
              <w:t>料塔底座：面积13㎡，混凝土结构，厚度0.5米</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清粪系统1套：纵向清粪机3套：1、锌镁铝合金板，含头尾驱动系统；2、清粪尾架采用≥3.0mm锌镁铝合金板材加工压制成型；3、清粪尾架防尘盖用1mm锌镁铝合金板材加工压制成型；4、最长刮粪行程≥100米；5、时间任意设置6、配套动力：≥1.1KW，380V；清粪带15条：1、高强度复合材质，厚度1.2mm；2、长度：≥96米；横向清粪12.5米：1、锌镁铝合金板框架，耐高、低温皮带；2、时间任意设置3、配套动力：≥1.1KW，380V；斜向出粪8米：1、锌镁铝合金板框架，耐高、低温皮带；2、时间任意设置3、配套动力：≥1.1KW，380V</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 xml:space="preserve">集蛋系统1套：集蛋机主机3套：1、材质：锌镁铝合金板框架，捡蛋机主机侧板使用2.0mm锌镁铝合金板材冲压折弯成型；2、蓝色L型集蛋卡，含输蛋槽、鸡蛋分流装置，破、软蛋分离装置。 3、配套动力：≥0.75KW，380V  ；蛋带、带卡111组尼龙材质输蛋带，蛋带卡全新料，抗老化    </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通风系统1套：风机12台：1、风量(m3/H):≥50000;2、额定功率:≥1100W;3、噪音(分贝):≤70DB4、额定电压：380V;5、转速：≥1400r/h；湿帘60㎡：1、厚度15厘米；2、铝合金包边；3、双面防鼠网；循环水系统3套：1、流量≥20m³/h;2、扬程≥8m3、功率≥750W；4、包含上下水管件。通风窗36个开孔尺寸:1000mm*340mm；通风窗开启装置2套手自一体驱动，通过环境控制器自动控制侧风窗打开和关闭；导流板60㎡：高密度板，δ=50mm；导流板开启装置3套：手自一体驱动，通过环境控制器自动控制导流板打开和关闭</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rPr>
              <w:t>照明系统1套：照明线路270米：专用多芯电缆（≥3芯）每列1路；阻燃等级≥B1级；纵向安装间距≤2.5米/盏；总长度≥270米，灯纵向间距2。养殖专用灯120个，无频闪认证；防护等级≥IP65；直流供电（48V±10%）；可编程光照模式（含日出日落模拟）；功率≥7W；支持红黄双光谱调节；配防水线缆组件；调光器1套：光照强度连续可调（0-100%）；兼容直流低压系统；防护等级≥IP54</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rPr>
              <w:t>电控系统1套：控制器1台：双冗余控制柜设计；监测通道：温度≥4路、负压≥1路、湿度≥1路、CO₂≥1路</w:t>
            </w:r>
            <w:r>
              <w:br/>
            </w:r>
            <w:r>
              <w:rPr>
                <w:rFonts w:ascii="仿宋_GB2312" w:hAnsi="仿宋_GB2312" w:cs="仿宋_GB2312" w:eastAsia="仿宋_GB2312"/>
              </w:rPr>
              <w:t xml:space="preserve"> 控制功能： • 风机自动控制≥12路 • 手动应急风机≥2路 • 通风窗控制≥2组 • 导流板控制≥2组 • 湿帘控制≥2组 • 报警输出≥1路 • 照明控制≥1路；支持APP远程监控；配备应急电源（断电续航≥30min；报警系统1套：三重报警方式：声光+短信+智能诊断；响应延迟≤5秒；喂料控制1套：同步控制绞龙上料与行车喂料；支持料量分段调节；清粪控制1套：支持纵向/横向/斜向清粪联动；定时清粪误差≤1分钟；集蛋控制1套：纵向集蛋速度可调（1-5m/min）：破蛋率≤2‰；通风控制1套：协同控制风机/湿帘/通风窗/导流板；温度控制精度±0.5℃；电控器材1套：阻燃电缆（等级≥B1）；金属网格式桥架（防腐等级≥C4）；过载保护装置≥10路</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rPr>
              <w:t>发酵罐1套：设备主体日处理量≥3m³；有效容积≥30m³；工作室直径≥3.0m；工作室高度≥3.8m；总高度（含防雨棚）≤8.0m；材质要求物料接触部位：耐腐蚀性能≥SUS304；非接触部位：碳钢或同等强度材料；保温层厚度≥50mm，聚氨酯发泡或同等保温性能材料（导热系数≤0.025W/(m·K)）；占地面积≤25㎡。</w:t>
            </w:r>
          </w:p>
          <w:p>
            <w:pPr>
              <w:pStyle w:val="null3"/>
            </w:pPr>
            <w:r>
              <w:rPr>
                <w:rFonts w:ascii="仿宋_GB2312" w:hAnsi="仿宋_GB2312" w:cs="仿宋_GB2312" w:eastAsia="仿宋_GB2312"/>
              </w:rPr>
              <w:t>液压系统驱动机功率≥3.5kW；油箱容积≥150L；系统压力≥25MPa；主油缸数量≥2个；卸料油缸数量≥1个。</w:t>
            </w:r>
          </w:p>
          <w:p>
            <w:pPr>
              <w:pStyle w:val="null3"/>
            </w:pPr>
            <w:r>
              <w:rPr>
                <w:rFonts w:ascii="仿宋_GB2312" w:hAnsi="仿宋_GB2312" w:cs="仿宋_GB2312" w:eastAsia="仿宋_GB2312"/>
              </w:rPr>
              <w:t>搅拌系统主轴材质碳钢结构，强度等级≥20#钢；棘轮材质合金钢结构，强度等级≥Q345B；驱动爪处理工艺调质处理合金钢，硬度≥HRC28；底座耐磨性耐磨铸件，使用寿命≥10,000小时。</w:t>
            </w:r>
          </w:p>
          <w:p>
            <w:pPr>
              <w:pStyle w:val="null3"/>
            </w:pPr>
            <w:r>
              <w:rPr>
                <w:rFonts w:ascii="仿宋_GB2312" w:hAnsi="仿宋_GB2312" w:cs="仿宋_GB2312" w:eastAsia="仿宋_GB2312"/>
              </w:rPr>
              <w:t>通风系统风机功率≥7.0kW；风机风量≥500m³/h；风机压力≥25kPa；送风管径≥DN100，镀锌或同等级防腐处理；排风管径≥De200，耐腐蚀材质（如PVC-U/不锈钢）；通风加热器功率≥1.8kW。</w:t>
            </w:r>
          </w:p>
          <w:p>
            <w:pPr>
              <w:pStyle w:val="null3"/>
            </w:pPr>
            <w:r>
              <w:rPr>
                <w:rFonts w:ascii="仿宋_GB2312" w:hAnsi="仿宋_GB2312" w:cs="仿宋_GB2312" w:eastAsia="仿宋_GB2312"/>
              </w:rPr>
              <w:t>除臭装置除臭风机材质不锈钢或同等耐腐蚀材料；除臭风机功率≥1.3kW；除臭管路管径≥Φ200，304不锈钢或U-PVC；主体尺寸直径≥0.9m，高度≥2.8m；喷淋水泵功率≥0.55kW。</w:t>
            </w:r>
          </w:p>
          <w:p>
            <w:pPr>
              <w:pStyle w:val="null3"/>
            </w:pPr>
            <w:r>
              <w:rPr>
                <w:rFonts w:ascii="仿宋_GB2312" w:hAnsi="仿宋_GB2312" w:cs="仿宋_GB2312" w:eastAsia="仿宋_GB2312"/>
              </w:rPr>
              <w:t>物料提升装置料斗容积≥0.6m³，不锈钢或同等耐腐蚀材料；输出扭矩≥800N·m；提升功率≥1.3kW；减速机减速比≥50；整体减速比≥1000。</w:t>
            </w:r>
          </w:p>
          <w:p>
            <w:pPr>
              <w:pStyle w:val="null3"/>
            </w:pPr>
            <w:r>
              <w:rPr>
                <w:rFonts w:ascii="仿宋_GB2312" w:hAnsi="仿宋_GB2312" w:cs="仿宋_GB2312" w:eastAsia="仿宋_GB2312"/>
              </w:rPr>
              <w:t>自动控制系统控制柜尺寸≥1400×500×350mm，防护等级≥IP54；PLC程序存储器≥20KB；PLC数据存储器≥15KB；触摸屏尺寸≥10英寸，支持WIFI远程监控；接触器寿命机械寿命≥80万次，额定电压380V；继电器触点负载≥3A，电气寿命≥8万次；断路器分断能力≥6kA，额定电流覆盖10A–200A</w:t>
            </w:r>
          </w:p>
          <w:p>
            <w:pPr>
              <w:pStyle w:val="null3"/>
            </w:pPr>
            <w:r>
              <w:rPr>
                <w:rFonts w:ascii="仿宋_GB2312" w:hAnsi="仿宋_GB2312" w:cs="仿宋_GB2312" w:eastAsia="仿宋_GB2312"/>
              </w:rPr>
              <w:t>发酵罐底座：面积20㎡，钢筋混凝土结构，厚度1米，（视现场土质情况，土质过软需要增加高度，每平方要求承重6吨）</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60天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交货地点：采购人指定地点；交货方式：供应商需将货物运输卸货至采购人指定地点安装完成并可以投入使用。（期间产生的费用由供应商自行承担，采购人不再支付任何费用）</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每批设备进场安装完成后付款，付款金额为：最终报价/首次报价×各标的物首次报价×80%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验收审计结束后，付款至97%</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剩余3%为质保金，质保期满后返还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由镇、村、供应商共同组织验收，标的物质量达国家相关标准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保修范围：整机及零部件；保修期：1年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仲裁</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别注意:为顺利推进政府采购电子化交易平台应用工作，供应商需要在线提交所有通过电子化交易平台实施的政府采购项目的谈判响应文件。2.成交供应商在采购结果发布后3个工作日内向代理机构提交纸质版响应文件以便于存档，响应文件正本1份，副本1份，电子版文件1份（以U盘为载体，电子版内容包括Word版本、签字盖章扫描后的PDF版本响应文件）。纸质响应文件均须A4纸打印，分别各自装订成册并编制目录和页码。线下递交响应文件地点：汉中市汉台区前进东路朱家营53号。 3.如谈判文件中融资相关内容与新政策要求有出入，按照最新要求执行。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汉中市政府采购供应商资格承诺函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供应商须为具有独立承担民事责任能力的法人、其他组织或自然人</w:t>
            </w:r>
          </w:p>
        </w:tc>
        <w:tc>
          <w:tcPr>
            <w:tcW w:type="dxa" w:w="3322"/>
          </w:tcPr>
          <w:p>
            <w:pPr>
              <w:pStyle w:val="null3"/>
            </w:pPr>
            <w:r>
              <w:rPr>
                <w:rFonts w:ascii="仿宋_GB2312" w:hAnsi="仿宋_GB2312" w:cs="仿宋_GB2312" w:eastAsia="仿宋_GB2312"/>
              </w:rPr>
              <w:t>供应商需在项目电子化交易系统中提供具有独立承担民事责任能力的法人、其他组织或自然人，并出具合法有效的营业执照或事业单位法人证书等国家规定的相关证明，自然人参与的提供其身份证明并进行电子签章</w:t>
            </w:r>
          </w:p>
        </w:tc>
        <w:tc>
          <w:tcPr>
            <w:tcW w:type="dxa" w:w="1661"/>
          </w:tcPr>
          <w:p>
            <w:pPr>
              <w:pStyle w:val="null3"/>
            </w:pPr>
            <w:r>
              <w:rPr>
                <w:rFonts w:ascii="仿宋_GB2312" w:hAnsi="仿宋_GB2312" w:cs="仿宋_GB2312" w:eastAsia="仿宋_GB2312"/>
              </w:rPr>
              <w:t>响应文件封面 供应商应提交的相关资格证明材料 响应函 汉中市政府采购供应商资格承诺函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供应商应授权合法的人员参加谈判全过程</w:t>
            </w:r>
          </w:p>
        </w:tc>
        <w:tc>
          <w:tcPr>
            <w:tcW w:type="dxa" w:w="3322"/>
          </w:tcPr>
          <w:p>
            <w:pPr>
              <w:pStyle w:val="null3"/>
            </w:pPr>
            <w:r>
              <w:rPr>
                <w:rFonts w:ascii="仿宋_GB2312" w:hAnsi="仿宋_GB2312" w:cs="仿宋_GB2312" w:eastAsia="仿宋_GB2312"/>
              </w:rPr>
              <w:t>供应商需在项目电子化交易系统中提供法定代表人身份证明书和法定代表人授权书及被授权人身份证扫描件（法定代表人直接参加投标只须提供法定代表人身份证明书及身份证扫描件）并进行电子签章</w:t>
            </w:r>
          </w:p>
        </w:tc>
        <w:tc>
          <w:tcPr>
            <w:tcW w:type="dxa" w:w="1661"/>
          </w:tcPr>
          <w:p>
            <w:pPr>
              <w:pStyle w:val="null3"/>
            </w:pPr>
            <w:r>
              <w:rPr>
                <w:rFonts w:ascii="仿宋_GB2312" w:hAnsi="仿宋_GB2312" w:cs="仿宋_GB2312" w:eastAsia="仿宋_GB2312"/>
              </w:rPr>
              <w:t>响应文件封面 响应函 法定代表人证明书与谈判授权书</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供应商需在项目电子化交易系统中按照汉中市财政局《关于全面推行政府采购供应商基本资格条件承诺制的通知》（汉采办采管〔2024〕20号）文件要求，提供资格承诺函并进行电子签章</w:t>
            </w:r>
          </w:p>
        </w:tc>
        <w:tc>
          <w:tcPr>
            <w:tcW w:type="dxa" w:w="1661"/>
          </w:tcPr>
          <w:p>
            <w:pPr>
              <w:pStyle w:val="null3"/>
            </w:pPr>
            <w:r>
              <w:rPr>
                <w:rFonts w:ascii="仿宋_GB2312" w:hAnsi="仿宋_GB2312" w:cs="仿宋_GB2312" w:eastAsia="仿宋_GB2312"/>
              </w:rPr>
              <w:t>汉中市政府采购供应商资格承诺函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投标人名称是否与营业执照一致</w:t>
            </w:r>
          </w:p>
        </w:tc>
        <w:tc>
          <w:tcPr>
            <w:tcW w:type="dxa" w:w="3322"/>
          </w:tcPr>
          <w:p>
            <w:pPr>
              <w:pStyle w:val="null3"/>
            </w:pPr>
            <w:r>
              <w:rPr>
                <w:rFonts w:ascii="仿宋_GB2312" w:hAnsi="仿宋_GB2312" w:cs="仿宋_GB2312" w:eastAsia="仿宋_GB2312"/>
              </w:rPr>
              <w:t>投标人名称需与营业执照一致</w:t>
            </w:r>
          </w:p>
        </w:tc>
        <w:tc>
          <w:tcPr>
            <w:tcW w:type="dxa" w:w="1661"/>
          </w:tcPr>
          <w:p>
            <w:pPr>
              <w:pStyle w:val="null3"/>
            </w:pPr>
            <w:r>
              <w:rPr>
                <w:rFonts w:ascii="仿宋_GB2312" w:hAnsi="仿宋_GB2312" w:cs="仿宋_GB2312" w:eastAsia="仿宋_GB2312"/>
              </w:rPr>
              <w:t>响应文件封面 技术条款偏离表 分项报价表 商务应答表 供应商应提交的相关资格证明材料 标的清单 报价表 响应函 汉中市政府采购供应商资格承诺函 法定代表人证明书与谈判授权书</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谈判报价</w:t>
            </w:r>
          </w:p>
        </w:tc>
        <w:tc>
          <w:tcPr>
            <w:tcW w:type="dxa" w:w="3322"/>
          </w:tcPr>
          <w:p>
            <w:pPr>
              <w:pStyle w:val="null3"/>
            </w:pPr>
            <w:r>
              <w:rPr>
                <w:rFonts w:ascii="仿宋_GB2312" w:hAnsi="仿宋_GB2312" w:cs="仿宋_GB2312" w:eastAsia="仿宋_GB2312"/>
              </w:rPr>
              <w:t>谈判报价不超过采购预算</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响应文件封面 商务应答表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谈判响应文件的签章</w:t>
            </w:r>
          </w:p>
        </w:tc>
        <w:tc>
          <w:tcPr>
            <w:tcW w:type="dxa" w:w="3322"/>
          </w:tcPr>
          <w:p>
            <w:pPr>
              <w:pStyle w:val="null3"/>
            </w:pPr>
            <w:r>
              <w:rPr>
                <w:rFonts w:ascii="仿宋_GB2312" w:hAnsi="仿宋_GB2312" w:cs="仿宋_GB2312" w:eastAsia="仿宋_GB2312"/>
              </w:rPr>
              <w:t>供应商需在项目电子化交易系统中进行电子签章，未按照要求的视为不响应谈判文件</w:t>
            </w:r>
          </w:p>
        </w:tc>
        <w:tc>
          <w:tcPr>
            <w:tcW w:type="dxa" w:w="1661"/>
          </w:tcPr>
          <w:p>
            <w:pPr>
              <w:pStyle w:val="null3"/>
            </w:pPr>
            <w:r>
              <w:rPr>
                <w:rFonts w:ascii="仿宋_GB2312" w:hAnsi="仿宋_GB2312" w:cs="仿宋_GB2312" w:eastAsia="仿宋_GB2312"/>
              </w:rPr>
              <w:t>响应文件封面 技术条款偏离表 分项报价表 中小企业声明函 商务应答表 供应商应提交的相关资格证明材料 标的清单 报价表 项目整体实施方案 响应函 汉中市政府采购供应商资格承诺函 法定代表人证明书与谈判授权书</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项目整体实施方案、产品参数</w:t>
            </w:r>
          </w:p>
        </w:tc>
        <w:tc>
          <w:tcPr>
            <w:tcW w:type="dxa" w:w="3322"/>
          </w:tcPr>
          <w:p>
            <w:pPr>
              <w:pStyle w:val="null3"/>
            </w:pPr>
            <w:r>
              <w:rPr>
                <w:rFonts w:ascii="仿宋_GB2312" w:hAnsi="仿宋_GB2312" w:cs="仿宋_GB2312" w:eastAsia="仿宋_GB2312"/>
              </w:rPr>
              <w:t>实施方案需切实可行;标“★”号技术参数须提供检测报告或使用手册或厂家白皮书或宣传彩页等证明材料与之对应，并注明对应页码。未按要求提供视为未实质性响应谈判文件</w:t>
            </w:r>
          </w:p>
        </w:tc>
        <w:tc>
          <w:tcPr>
            <w:tcW w:type="dxa" w:w="1661"/>
          </w:tcPr>
          <w:p>
            <w:pPr>
              <w:pStyle w:val="null3"/>
            </w:pPr>
            <w:r>
              <w:rPr>
                <w:rFonts w:ascii="仿宋_GB2312" w:hAnsi="仿宋_GB2312" w:cs="仿宋_GB2312" w:eastAsia="仿宋_GB2312"/>
              </w:rPr>
              <w:t>技术条款偏离表 分项报价表 商务应答表 项目整体实施方案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商务要求不允许负偏离</w:t>
            </w:r>
          </w:p>
        </w:tc>
        <w:tc>
          <w:tcPr>
            <w:tcW w:type="dxa" w:w="1661"/>
          </w:tcPr>
          <w:p>
            <w:pPr>
              <w:pStyle w:val="null3"/>
            </w:pPr>
            <w:r>
              <w:rPr>
                <w:rFonts w:ascii="仿宋_GB2312" w:hAnsi="仿宋_GB2312" w:cs="仿宋_GB2312" w:eastAsia="仿宋_GB2312"/>
              </w:rPr>
              <w:t>响应文件封面 商务应答表 项目整体实施方案</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是否发现法律、法规和竞争性谈判文件规定的其他无效情形</w:t>
            </w:r>
          </w:p>
        </w:tc>
        <w:tc>
          <w:tcPr>
            <w:tcW w:type="dxa" w:w="3322"/>
          </w:tcPr>
          <w:p>
            <w:pPr>
              <w:pStyle w:val="null3"/>
            </w:pPr>
            <w:r>
              <w:rPr>
                <w:rFonts w:ascii="仿宋_GB2312" w:hAnsi="仿宋_GB2312" w:cs="仿宋_GB2312" w:eastAsia="仿宋_GB2312"/>
              </w:rPr>
              <w:t>响应文件不存在法律、法规和竞争性谈判文件规定的其他无效情形</w:t>
            </w:r>
          </w:p>
        </w:tc>
        <w:tc>
          <w:tcPr>
            <w:tcW w:type="dxa" w:w="1661"/>
          </w:tcPr>
          <w:p>
            <w:pPr>
              <w:pStyle w:val="null3"/>
            </w:pPr>
            <w:r>
              <w:rPr>
                <w:rFonts w:ascii="仿宋_GB2312" w:hAnsi="仿宋_GB2312" w:cs="仿宋_GB2312" w:eastAsia="仿宋_GB2312"/>
              </w:rPr>
              <w:t>技术条款偏离表 分项报价表 中小企业声明函 商务应答表 供应商应提交的相关资格证明材料 报价表 响应文件封面 残疾人福利性单位声明函 标的清单 项目整体实施方案 响应函 汉中市政府采购供应商资格承诺函 监狱企业的证明文件 法定代表人证明书与谈判授权书</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详见附件：技术条款偏离表</w:t>
      </w:r>
    </w:p>
    <w:p>
      <w:pPr>
        <w:pStyle w:val="null3"/>
        <w:ind w:firstLine="960"/>
      </w:pPr>
      <w:r>
        <w:rPr>
          <w:rFonts w:ascii="仿宋_GB2312" w:hAnsi="仿宋_GB2312" w:cs="仿宋_GB2312" w:eastAsia="仿宋_GB2312"/>
        </w:rPr>
        <w:t>详见附件：法定代表人证明书与谈判授权书</w:t>
      </w:r>
    </w:p>
    <w:p>
      <w:pPr>
        <w:pStyle w:val="null3"/>
        <w:ind w:firstLine="960"/>
      </w:pPr>
      <w:r>
        <w:rPr>
          <w:rFonts w:ascii="仿宋_GB2312" w:hAnsi="仿宋_GB2312" w:cs="仿宋_GB2312" w:eastAsia="仿宋_GB2312"/>
        </w:rPr>
        <w:t>详见附件：汉中市政府采购供应商资格承诺函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详见附件：项目整体实施方案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详见附件：拟定合同条款及格式.docx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