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C85A4F">
      <w:pPr>
        <w:jc w:val="center"/>
        <w:rPr>
          <w:rFonts w:hint="eastAsia"/>
          <w:b/>
          <w:bCs/>
          <w:sz w:val="32"/>
          <w:szCs w:val="32"/>
          <w:lang w:val="en-US" w:eastAsia="zh-CN"/>
        </w:rPr>
      </w:pPr>
      <w:r>
        <w:rPr>
          <w:rFonts w:hint="eastAsia"/>
          <w:b/>
          <w:bCs/>
          <w:sz w:val="32"/>
          <w:szCs w:val="32"/>
          <w:lang w:val="en-US" w:eastAsia="zh-CN"/>
        </w:rPr>
        <w:t>技术条款偏离表</w:t>
      </w:r>
    </w:p>
    <w:p w14:paraId="757B9987">
      <w:pPr>
        <w:rPr>
          <w:rFonts w:hint="eastAsia"/>
          <w:u w:val="single"/>
          <w:lang w:val="en-US" w:eastAsia="zh-CN"/>
        </w:rPr>
      </w:pPr>
      <w:r>
        <w:rPr>
          <w:rFonts w:hint="eastAsia"/>
          <w:lang w:val="en-US" w:eastAsia="zh-CN"/>
        </w:rPr>
        <w:t>供应商名称：</w:t>
      </w:r>
      <w:r>
        <w:rPr>
          <w:rFonts w:hint="eastAsia"/>
          <w:u w:val="single"/>
          <w:lang w:val="en-US" w:eastAsia="zh-CN"/>
        </w:rPr>
        <w:t xml:space="preserve">                  </w:t>
      </w:r>
      <w:r>
        <w:rPr>
          <w:rFonts w:hint="eastAsia"/>
          <w:u w:val="none"/>
          <w:lang w:val="en-US" w:eastAsia="zh-CN"/>
        </w:rPr>
        <w:t xml:space="preserve">                      项目编号：</w:t>
      </w:r>
      <w:r>
        <w:rPr>
          <w:rFonts w:hint="eastAsia"/>
          <w:u w:val="single"/>
          <w:lang w:val="en-US" w:eastAsia="zh-CN"/>
        </w:rPr>
        <w:t xml:space="preserve">                  </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715"/>
        <w:gridCol w:w="2628"/>
        <w:gridCol w:w="2652"/>
        <w:gridCol w:w="1176"/>
        <w:gridCol w:w="1332"/>
      </w:tblGrid>
      <w:tr w14:paraId="7A0EC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67" w:hRule="atLeast"/>
        </w:trPr>
        <w:tc>
          <w:tcPr>
            <w:tcW w:w="715" w:type="dxa"/>
            <w:vAlign w:val="center"/>
          </w:tcPr>
          <w:p w14:paraId="4C04A520">
            <w:pPr>
              <w:jc w:val="center"/>
              <w:rPr>
                <w:rFonts w:hint="default"/>
                <w:u w:val="single"/>
                <w:vertAlign w:val="baseline"/>
                <w:lang w:val="en-US" w:eastAsia="zh-CN"/>
              </w:rPr>
            </w:pPr>
            <w:r>
              <w:rPr>
                <w:rFonts w:hint="eastAsia"/>
                <w:u w:val="none"/>
                <w:vertAlign w:val="baseline"/>
                <w:lang w:val="en-US" w:eastAsia="zh-CN"/>
              </w:rPr>
              <w:t>序号</w:t>
            </w:r>
          </w:p>
        </w:tc>
        <w:tc>
          <w:tcPr>
            <w:tcW w:w="2628" w:type="dxa"/>
            <w:vAlign w:val="center"/>
          </w:tcPr>
          <w:p w14:paraId="0F4217D3">
            <w:pPr>
              <w:jc w:val="center"/>
              <w:rPr>
                <w:rFonts w:hint="default"/>
                <w:u w:val="none"/>
                <w:vertAlign w:val="baseline"/>
                <w:lang w:val="en-US" w:eastAsia="zh-CN"/>
              </w:rPr>
            </w:pPr>
            <w:r>
              <w:rPr>
                <w:rFonts w:hint="eastAsia"/>
                <w:u w:val="none"/>
                <w:vertAlign w:val="baseline"/>
                <w:lang w:val="en-US" w:eastAsia="zh-CN"/>
              </w:rPr>
              <w:t>谈判文件技术要求</w:t>
            </w:r>
          </w:p>
        </w:tc>
        <w:tc>
          <w:tcPr>
            <w:tcW w:w="2652" w:type="dxa"/>
            <w:vAlign w:val="center"/>
          </w:tcPr>
          <w:p w14:paraId="27EAC981">
            <w:pPr>
              <w:jc w:val="center"/>
              <w:rPr>
                <w:rFonts w:hint="default"/>
                <w:u w:val="none"/>
                <w:vertAlign w:val="baseline"/>
                <w:lang w:val="en-US" w:eastAsia="zh-CN"/>
              </w:rPr>
            </w:pPr>
            <w:r>
              <w:rPr>
                <w:rFonts w:hint="eastAsia"/>
                <w:u w:val="none"/>
                <w:vertAlign w:val="baseline"/>
                <w:lang w:val="en-US" w:eastAsia="zh-CN"/>
              </w:rPr>
              <w:t>投标文件技术响应</w:t>
            </w:r>
          </w:p>
        </w:tc>
        <w:tc>
          <w:tcPr>
            <w:tcW w:w="1176" w:type="dxa"/>
            <w:vAlign w:val="center"/>
          </w:tcPr>
          <w:p w14:paraId="7D29E978">
            <w:pPr>
              <w:jc w:val="center"/>
              <w:rPr>
                <w:rFonts w:hint="default"/>
                <w:u w:val="none"/>
                <w:vertAlign w:val="baseline"/>
                <w:lang w:val="en-US" w:eastAsia="zh-CN"/>
              </w:rPr>
            </w:pPr>
            <w:r>
              <w:rPr>
                <w:rFonts w:hint="eastAsia"/>
                <w:u w:val="none"/>
                <w:vertAlign w:val="baseline"/>
                <w:lang w:val="en-US" w:eastAsia="zh-CN"/>
              </w:rPr>
              <w:t>偏离情况</w:t>
            </w:r>
          </w:p>
        </w:tc>
        <w:tc>
          <w:tcPr>
            <w:tcW w:w="1332" w:type="dxa"/>
            <w:vAlign w:val="center"/>
          </w:tcPr>
          <w:p w14:paraId="6DD0B555">
            <w:pPr>
              <w:jc w:val="center"/>
              <w:rPr>
                <w:rFonts w:hint="default"/>
                <w:u w:val="none"/>
                <w:vertAlign w:val="baseline"/>
                <w:lang w:val="en-US" w:eastAsia="zh-CN"/>
              </w:rPr>
            </w:pPr>
            <w:r>
              <w:rPr>
                <w:rFonts w:hint="eastAsia"/>
                <w:u w:val="none"/>
                <w:vertAlign w:val="baseline"/>
                <w:lang w:val="en-US" w:eastAsia="zh-CN"/>
              </w:rPr>
              <w:t>说明</w:t>
            </w:r>
          </w:p>
        </w:tc>
      </w:tr>
      <w:tr w14:paraId="61634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67" w:hRule="atLeast"/>
        </w:trPr>
        <w:tc>
          <w:tcPr>
            <w:tcW w:w="715" w:type="dxa"/>
          </w:tcPr>
          <w:p w14:paraId="6FDA7580">
            <w:pPr>
              <w:rPr>
                <w:rFonts w:hint="default"/>
                <w:u w:val="single"/>
                <w:vertAlign w:val="baseline"/>
                <w:lang w:val="en-US" w:eastAsia="zh-CN"/>
              </w:rPr>
            </w:pPr>
          </w:p>
        </w:tc>
        <w:tc>
          <w:tcPr>
            <w:tcW w:w="2628" w:type="dxa"/>
          </w:tcPr>
          <w:p w14:paraId="1B3823E1">
            <w:pPr>
              <w:jc w:val="center"/>
              <w:rPr>
                <w:rFonts w:hint="default"/>
                <w:u w:val="none"/>
                <w:vertAlign w:val="baseline"/>
                <w:lang w:val="en-US" w:eastAsia="zh-CN"/>
              </w:rPr>
            </w:pPr>
          </w:p>
        </w:tc>
        <w:tc>
          <w:tcPr>
            <w:tcW w:w="2652" w:type="dxa"/>
          </w:tcPr>
          <w:p w14:paraId="5F988659">
            <w:pPr>
              <w:jc w:val="center"/>
              <w:rPr>
                <w:rFonts w:hint="default"/>
                <w:u w:val="none"/>
                <w:vertAlign w:val="baseline"/>
                <w:lang w:val="en-US" w:eastAsia="zh-CN"/>
              </w:rPr>
            </w:pPr>
          </w:p>
        </w:tc>
        <w:tc>
          <w:tcPr>
            <w:tcW w:w="1176" w:type="dxa"/>
          </w:tcPr>
          <w:p w14:paraId="6F648194">
            <w:pPr>
              <w:jc w:val="center"/>
              <w:rPr>
                <w:rFonts w:hint="default"/>
                <w:u w:val="none"/>
                <w:vertAlign w:val="baseline"/>
                <w:lang w:val="en-US" w:eastAsia="zh-CN"/>
              </w:rPr>
            </w:pPr>
          </w:p>
        </w:tc>
        <w:tc>
          <w:tcPr>
            <w:tcW w:w="1332" w:type="dxa"/>
          </w:tcPr>
          <w:p w14:paraId="33C3A0E8">
            <w:pPr>
              <w:jc w:val="center"/>
              <w:rPr>
                <w:rFonts w:hint="default"/>
                <w:u w:val="none"/>
                <w:vertAlign w:val="baseline"/>
                <w:lang w:val="en-US" w:eastAsia="zh-CN"/>
              </w:rPr>
            </w:pPr>
          </w:p>
        </w:tc>
      </w:tr>
      <w:tr w14:paraId="0BDE0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67" w:hRule="atLeast"/>
        </w:trPr>
        <w:tc>
          <w:tcPr>
            <w:tcW w:w="715" w:type="dxa"/>
          </w:tcPr>
          <w:p w14:paraId="4B145B46">
            <w:pPr>
              <w:rPr>
                <w:rFonts w:hint="default"/>
                <w:u w:val="single"/>
                <w:vertAlign w:val="baseline"/>
                <w:lang w:val="en-US" w:eastAsia="zh-CN"/>
              </w:rPr>
            </w:pPr>
          </w:p>
        </w:tc>
        <w:tc>
          <w:tcPr>
            <w:tcW w:w="2628" w:type="dxa"/>
          </w:tcPr>
          <w:p w14:paraId="7F1C47B2">
            <w:pPr>
              <w:jc w:val="center"/>
              <w:rPr>
                <w:rFonts w:hint="default"/>
                <w:u w:val="none"/>
                <w:vertAlign w:val="baseline"/>
                <w:lang w:val="en-US" w:eastAsia="zh-CN"/>
              </w:rPr>
            </w:pPr>
          </w:p>
        </w:tc>
        <w:tc>
          <w:tcPr>
            <w:tcW w:w="2652" w:type="dxa"/>
          </w:tcPr>
          <w:p w14:paraId="787E85DB">
            <w:pPr>
              <w:jc w:val="center"/>
              <w:rPr>
                <w:rFonts w:hint="default"/>
                <w:u w:val="none"/>
                <w:vertAlign w:val="baseline"/>
                <w:lang w:val="en-US" w:eastAsia="zh-CN"/>
              </w:rPr>
            </w:pPr>
          </w:p>
        </w:tc>
        <w:tc>
          <w:tcPr>
            <w:tcW w:w="1176" w:type="dxa"/>
          </w:tcPr>
          <w:p w14:paraId="21210DBA">
            <w:pPr>
              <w:jc w:val="center"/>
              <w:rPr>
                <w:rFonts w:hint="default"/>
                <w:u w:val="none"/>
                <w:vertAlign w:val="baseline"/>
                <w:lang w:val="en-US" w:eastAsia="zh-CN"/>
              </w:rPr>
            </w:pPr>
          </w:p>
        </w:tc>
        <w:tc>
          <w:tcPr>
            <w:tcW w:w="1332" w:type="dxa"/>
          </w:tcPr>
          <w:p w14:paraId="6CC92DA1">
            <w:pPr>
              <w:jc w:val="center"/>
              <w:rPr>
                <w:rFonts w:hint="default"/>
                <w:u w:val="none"/>
                <w:vertAlign w:val="baseline"/>
                <w:lang w:val="en-US" w:eastAsia="zh-CN"/>
              </w:rPr>
            </w:pPr>
          </w:p>
        </w:tc>
      </w:tr>
      <w:tr w14:paraId="3AA1C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67" w:hRule="atLeast"/>
        </w:trPr>
        <w:tc>
          <w:tcPr>
            <w:tcW w:w="715" w:type="dxa"/>
          </w:tcPr>
          <w:p w14:paraId="2C33AA23">
            <w:pPr>
              <w:rPr>
                <w:rFonts w:hint="default"/>
                <w:u w:val="single"/>
                <w:vertAlign w:val="baseline"/>
                <w:lang w:val="en-US" w:eastAsia="zh-CN"/>
              </w:rPr>
            </w:pPr>
          </w:p>
        </w:tc>
        <w:tc>
          <w:tcPr>
            <w:tcW w:w="2628" w:type="dxa"/>
          </w:tcPr>
          <w:p w14:paraId="03D23BC6">
            <w:pPr>
              <w:jc w:val="center"/>
              <w:rPr>
                <w:rFonts w:hint="default"/>
                <w:u w:val="none"/>
                <w:vertAlign w:val="baseline"/>
                <w:lang w:val="en-US" w:eastAsia="zh-CN"/>
              </w:rPr>
            </w:pPr>
          </w:p>
        </w:tc>
        <w:tc>
          <w:tcPr>
            <w:tcW w:w="2652" w:type="dxa"/>
          </w:tcPr>
          <w:p w14:paraId="512A4085">
            <w:pPr>
              <w:jc w:val="center"/>
              <w:rPr>
                <w:rFonts w:hint="default"/>
                <w:u w:val="none"/>
                <w:vertAlign w:val="baseline"/>
                <w:lang w:val="en-US" w:eastAsia="zh-CN"/>
              </w:rPr>
            </w:pPr>
          </w:p>
        </w:tc>
        <w:tc>
          <w:tcPr>
            <w:tcW w:w="1176" w:type="dxa"/>
          </w:tcPr>
          <w:p w14:paraId="59F98CE6">
            <w:pPr>
              <w:jc w:val="center"/>
              <w:rPr>
                <w:rFonts w:hint="default"/>
                <w:u w:val="none"/>
                <w:vertAlign w:val="baseline"/>
                <w:lang w:val="en-US" w:eastAsia="zh-CN"/>
              </w:rPr>
            </w:pPr>
          </w:p>
        </w:tc>
        <w:tc>
          <w:tcPr>
            <w:tcW w:w="1332" w:type="dxa"/>
          </w:tcPr>
          <w:p w14:paraId="61212DC7">
            <w:pPr>
              <w:jc w:val="center"/>
              <w:rPr>
                <w:rFonts w:hint="default"/>
                <w:u w:val="none"/>
                <w:vertAlign w:val="baseline"/>
                <w:lang w:val="en-US" w:eastAsia="zh-CN"/>
              </w:rPr>
            </w:pPr>
          </w:p>
        </w:tc>
      </w:tr>
      <w:tr w14:paraId="36A91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67" w:hRule="atLeast"/>
        </w:trPr>
        <w:tc>
          <w:tcPr>
            <w:tcW w:w="715" w:type="dxa"/>
          </w:tcPr>
          <w:p w14:paraId="1C382A61">
            <w:pPr>
              <w:rPr>
                <w:rFonts w:hint="default"/>
                <w:u w:val="single"/>
                <w:vertAlign w:val="baseline"/>
                <w:lang w:val="en-US" w:eastAsia="zh-CN"/>
              </w:rPr>
            </w:pPr>
          </w:p>
        </w:tc>
        <w:tc>
          <w:tcPr>
            <w:tcW w:w="2628" w:type="dxa"/>
          </w:tcPr>
          <w:p w14:paraId="1D1D9077">
            <w:pPr>
              <w:jc w:val="center"/>
              <w:rPr>
                <w:rFonts w:hint="default"/>
                <w:u w:val="none"/>
                <w:vertAlign w:val="baseline"/>
                <w:lang w:val="en-US" w:eastAsia="zh-CN"/>
              </w:rPr>
            </w:pPr>
          </w:p>
        </w:tc>
        <w:tc>
          <w:tcPr>
            <w:tcW w:w="2652" w:type="dxa"/>
          </w:tcPr>
          <w:p w14:paraId="2A737C2B">
            <w:pPr>
              <w:jc w:val="center"/>
              <w:rPr>
                <w:rFonts w:hint="default"/>
                <w:u w:val="none"/>
                <w:vertAlign w:val="baseline"/>
                <w:lang w:val="en-US" w:eastAsia="zh-CN"/>
              </w:rPr>
            </w:pPr>
          </w:p>
        </w:tc>
        <w:tc>
          <w:tcPr>
            <w:tcW w:w="1176" w:type="dxa"/>
          </w:tcPr>
          <w:p w14:paraId="55E6CE7B">
            <w:pPr>
              <w:jc w:val="center"/>
              <w:rPr>
                <w:rFonts w:hint="default"/>
                <w:u w:val="none"/>
                <w:vertAlign w:val="baseline"/>
                <w:lang w:val="en-US" w:eastAsia="zh-CN"/>
              </w:rPr>
            </w:pPr>
          </w:p>
        </w:tc>
        <w:tc>
          <w:tcPr>
            <w:tcW w:w="1332" w:type="dxa"/>
          </w:tcPr>
          <w:p w14:paraId="5E72D015">
            <w:pPr>
              <w:jc w:val="center"/>
              <w:rPr>
                <w:rFonts w:hint="default"/>
                <w:u w:val="none"/>
                <w:vertAlign w:val="baseline"/>
                <w:lang w:val="en-US" w:eastAsia="zh-CN"/>
              </w:rPr>
            </w:pPr>
          </w:p>
        </w:tc>
      </w:tr>
      <w:tr w14:paraId="646B4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67" w:hRule="atLeast"/>
        </w:trPr>
        <w:tc>
          <w:tcPr>
            <w:tcW w:w="715" w:type="dxa"/>
          </w:tcPr>
          <w:p w14:paraId="70DD78D7">
            <w:pPr>
              <w:rPr>
                <w:rFonts w:hint="default"/>
                <w:u w:val="single"/>
                <w:vertAlign w:val="baseline"/>
                <w:lang w:val="en-US" w:eastAsia="zh-CN"/>
              </w:rPr>
            </w:pPr>
          </w:p>
        </w:tc>
        <w:tc>
          <w:tcPr>
            <w:tcW w:w="2628" w:type="dxa"/>
          </w:tcPr>
          <w:p w14:paraId="74A41543">
            <w:pPr>
              <w:jc w:val="center"/>
              <w:rPr>
                <w:rFonts w:hint="default"/>
                <w:u w:val="none"/>
                <w:vertAlign w:val="baseline"/>
                <w:lang w:val="en-US" w:eastAsia="zh-CN"/>
              </w:rPr>
            </w:pPr>
          </w:p>
        </w:tc>
        <w:tc>
          <w:tcPr>
            <w:tcW w:w="2652" w:type="dxa"/>
          </w:tcPr>
          <w:p w14:paraId="6ACC8945">
            <w:pPr>
              <w:jc w:val="center"/>
              <w:rPr>
                <w:rFonts w:hint="default"/>
                <w:u w:val="none"/>
                <w:vertAlign w:val="baseline"/>
                <w:lang w:val="en-US" w:eastAsia="zh-CN"/>
              </w:rPr>
            </w:pPr>
          </w:p>
        </w:tc>
        <w:tc>
          <w:tcPr>
            <w:tcW w:w="1176" w:type="dxa"/>
          </w:tcPr>
          <w:p w14:paraId="4EC88A16">
            <w:pPr>
              <w:jc w:val="center"/>
              <w:rPr>
                <w:rFonts w:hint="default"/>
                <w:u w:val="none"/>
                <w:vertAlign w:val="baseline"/>
                <w:lang w:val="en-US" w:eastAsia="zh-CN"/>
              </w:rPr>
            </w:pPr>
          </w:p>
        </w:tc>
        <w:tc>
          <w:tcPr>
            <w:tcW w:w="1332" w:type="dxa"/>
          </w:tcPr>
          <w:p w14:paraId="37809F36">
            <w:pPr>
              <w:jc w:val="center"/>
              <w:rPr>
                <w:rFonts w:hint="default"/>
                <w:u w:val="none"/>
                <w:vertAlign w:val="baseline"/>
                <w:lang w:val="en-US" w:eastAsia="zh-CN"/>
              </w:rPr>
            </w:pPr>
          </w:p>
        </w:tc>
      </w:tr>
      <w:tr w14:paraId="30C26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67" w:hRule="atLeast"/>
        </w:trPr>
        <w:tc>
          <w:tcPr>
            <w:tcW w:w="715" w:type="dxa"/>
          </w:tcPr>
          <w:p w14:paraId="40AC252F">
            <w:pPr>
              <w:rPr>
                <w:rFonts w:hint="default"/>
                <w:u w:val="single"/>
                <w:vertAlign w:val="baseline"/>
                <w:lang w:val="en-US" w:eastAsia="zh-CN"/>
              </w:rPr>
            </w:pPr>
          </w:p>
        </w:tc>
        <w:tc>
          <w:tcPr>
            <w:tcW w:w="2628" w:type="dxa"/>
          </w:tcPr>
          <w:p w14:paraId="75CA906F">
            <w:pPr>
              <w:jc w:val="center"/>
              <w:rPr>
                <w:rFonts w:hint="default"/>
                <w:u w:val="none"/>
                <w:vertAlign w:val="baseline"/>
                <w:lang w:val="en-US" w:eastAsia="zh-CN"/>
              </w:rPr>
            </w:pPr>
          </w:p>
        </w:tc>
        <w:tc>
          <w:tcPr>
            <w:tcW w:w="2652" w:type="dxa"/>
          </w:tcPr>
          <w:p w14:paraId="529290C8">
            <w:pPr>
              <w:jc w:val="center"/>
              <w:rPr>
                <w:rFonts w:hint="default"/>
                <w:u w:val="none"/>
                <w:vertAlign w:val="baseline"/>
                <w:lang w:val="en-US" w:eastAsia="zh-CN"/>
              </w:rPr>
            </w:pPr>
          </w:p>
        </w:tc>
        <w:tc>
          <w:tcPr>
            <w:tcW w:w="1176" w:type="dxa"/>
          </w:tcPr>
          <w:p w14:paraId="251E41BE">
            <w:pPr>
              <w:jc w:val="center"/>
              <w:rPr>
                <w:rFonts w:hint="default"/>
                <w:u w:val="none"/>
                <w:vertAlign w:val="baseline"/>
                <w:lang w:val="en-US" w:eastAsia="zh-CN"/>
              </w:rPr>
            </w:pPr>
          </w:p>
        </w:tc>
        <w:tc>
          <w:tcPr>
            <w:tcW w:w="1332" w:type="dxa"/>
          </w:tcPr>
          <w:p w14:paraId="59BE551A">
            <w:pPr>
              <w:jc w:val="center"/>
              <w:rPr>
                <w:rFonts w:hint="default"/>
                <w:u w:val="none"/>
                <w:vertAlign w:val="baseline"/>
                <w:lang w:val="en-US" w:eastAsia="zh-CN"/>
              </w:rPr>
            </w:pPr>
          </w:p>
        </w:tc>
      </w:tr>
      <w:tr w14:paraId="2A750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715" w:type="dxa"/>
          </w:tcPr>
          <w:p w14:paraId="7A15CCFF">
            <w:pPr>
              <w:rPr>
                <w:rFonts w:hint="default"/>
                <w:u w:val="single"/>
                <w:vertAlign w:val="baseline"/>
                <w:lang w:val="en-US" w:eastAsia="zh-CN"/>
              </w:rPr>
            </w:pPr>
          </w:p>
        </w:tc>
        <w:tc>
          <w:tcPr>
            <w:tcW w:w="2628" w:type="dxa"/>
          </w:tcPr>
          <w:p w14:paraId="02F0A2D8">
            <w:pPr>
              <w:jc w:val="center"/>
              <w:rPr>
                <w:rFonts w:hint="default"/>
                <w:u w:val="none"/>
                <w:vertAlign w:val="baseline"/>
                <w:lang w:val="en-US" w:eastAsia="zh-CN"/>
              </w:rPr>
            </w:pPr>
          </w:p>
        </w:tc>
        <w:tc>
          <w:tcPr>
            <w:tcW w:w="2652" w:type="dxa"/>
          </w:tcPr>
          <w:p w14:paraId="5CD6AB4C">
            <w:pPr>
              <w:jc w:val="center"/>
              <w:rPr>
                <w:rFonts w:hint="default"/>
                <w:u w:val="none"/>
                <w:vertAlign w:val="baseline"/>
                <w:lang w:val="en-US" w:eastAsia="zh-CN"/>
              </w:rPr>
            </w:pPr>
          </w:p>
        </w:tc>
        <w:tc>
          <w:tcPr>
            <w:tcW w:w="1176" w:type="dxa"/>
          </w:tcPr>
          <w:p w14:paraId="7E7C6164">
            <w:pPr>
              <w:jc w:val="center"/>
              <w:rPr>
                <w:rFonts w:hint="default"/>
                <w:u w:val="none"/>
                <w:vertAlign w:val="baseline"/>
                <w:lang w:val="en-US" w:eastAsia="zh-CN"/>
              </w:rPr>
            </w:pPr>
          </w:p>
        </w:tc>
        <w:tc>
          <w:tcPr>
            <w:tcW w:w="1332" w:type="dxa"/>
          </w:tcPr>
          <w:p w14:paraId="5E868839">
            <w:pPr>
              <w:jc w:val="center"/>
              <w:rPr>
                <w:rFonts w:hint="default"/>
                <w:u w:val="none"/>
                <w:vertAlign w:val="baseline"/>
                <w:lang w:val="en-US" w:eastAsia="zh-CN"/>
              </w:rPr>
            </w:pPr>
          </w:p>
        </w:tc>
      </w:tr>
    </w:tbl>
    <w:p w14:paraId="3E9C9BCC">
      <w:pPr>
        <w:rPr>
          <w:rFonts w:hint="eastAsia"/>
          <w:u w:val="none"/>
          <w:lang w:val="en-US" w:eastAsia="zh-CN"/>
        </w:rPr>
      </w:pPr>
      <w:r>
        <w:rPr>
          <w:rFonts w:hint="eastAsia"/>
          <w:u w:val="none"/>
          <w:lang w:val="en-US" w:eastAsia="zh-CN"/>
        </w:rPr>
        <w:t>注：1、除本规格、技术偏离表所列的偏离指标外，其他所有规格、技术参数均完全响应“谈判文件”中的要求。</w:t>
      </w:r>
      <w:r>
        <w:rPr>
          <w:rFonts w:hint="eastAsia"/>
          <w:u w:val="none"/>
          <w:lang w:val="en-US" w:eastAsia="zh-CN"/>
        </w:rPr>
        <w:t>供应商</w:t>
      </w:r>
      <w:r>
        <w:rPr>
          <w:rFonts w:hint="eastAsia"/>
          <w:u w:val="none"/>
          <w:lang w:val="en-US" w:eastAsia="zh-CN"/>
        </w:rPr>
        <w:t>按照采购内容要求及报价内容如实填写。</w:t>
      </w:r>
    </w:p>
    <w:p w14:paraId="0195585A">
      <w:pPr>
        <w:rPr>
          <w:rFonts w:hint="eastAsia"/>
          <w:u w:val="none"/>
          <w:lang w:val="en-US" w:eastAsia="zh-CN"/>
        </w:rPr>
      </w:pPr>
      <w:r>
        <w:rPr>
          <w:rFonts w:hint="eastAsia"/>
          <w:u w:val="none"/>
          <w:lang w:val="en-US" w:eastAsia="zh-CN"/>
        </w:rPr>
        <w:t>2、标“★”号技术参数须提供检测报告或使用手册或厂家白皮书或宣传彩页等证明材料与之对应，并注明对应页码。</w:t>
      </w:r>
    </w:p>
    <w:p w14:paraId="678A06FA">
      <w:pPr>
        <w:numPr>
          <w:numId w:val="0"/>
        </w:numPr>
        <w:rPr>
          <w:rFonts w:hint="eastAsia"/>
          <w:u w:val="none"/>
          <w:lang w:val="en-US" w:eastAsia="zh-CN"/>
        </w:rPr>
      </w:pPr>
      <w:r>
        <w:rPr>
          <w:rFonts w:hint="eastAsia"/>
          <w:u w:val="none"/>
          <w:lang w:val="en-US" w:eastAsia="zh-CN"/>
        </w:rPr>
        <w:t>3、供应商</w:t>
      </w:r>
      <w:r>
        <w:rPr>
          <w:rFonts w:hint="eastAsia"/>
          <w:u w:val="none"/>
          <w:lang w:val="en-US" w:eastAsia="zh-CN"/>
        </w:rPr>
        <w:t>必须据实填写，不得虚假响应，否则将取消其投标或中标资格，并按有关规定进行处罚。</w:t>
      </w:r>
    </w:p>
    <w:p w14:paraId="3A9E7288">
      <w:pPr>
        <w:keepNext w:val="0"/>
        <w:keepLines w:val="0"/>
        <w:pageBreakBefore w:val="0"/>
        <w:widowControl w:val="0"/>
        <w:numPr>
          <w:numId w:val="0"/>
        </w:numPr>
        <w:kinsoku/>
        <w:wordWrap/>
        <w:overflowPunct/>
        <w:topLinePunct w:val="0"/>
        <w:autoSpaceDE/>
        <w:autoSpaceDN/>
        <w:bidi w:val="0"/>
        <w:adjustRightInd/>
        <w:snapToGrid/>
        <w:spacing w:line="500" w:lineRule="exact"/>
        <w:jc w:val="right"/>
        <w:textAlignment w:val="auto"/>
        <w:rPr>
          <w:rFonts w:hint="eastAsia"/>
          <w:u w:val="none"/>
          <w:lang w:val="en-US" w:eastAsia="zh-CN"/>
        </w:rPr>
      </w:pPr>
      <w:bookmarkStart w:id="0" w:name="_GoBack"/>
      <w:bookmarkEnd w:id="0"/>
      <w:r>
        <w:rPr>
          <w:rFonts w:hint="eastAsia"/>
          <w:u w:val="none"/>
          <w:lang w:val="en-US" w:eastAsia="zh-CN"/>
        </w:rPr>
        <w:t>供应商：</w:t>
      </w:r>
      <w:r>
        <w:rPr>
          <w:rFonts w:hint="eastAsia"/>
          <w:u w:val="single"/>
          <w:lang w:val="en-US" w:eastAsia="zh-CN"/>
        </w:rPr>
        <w:t xml:space="preserve">        （单位全称、盖章）</w:t>
      </w:r>
    </w:p>
    <w:p w14:paraId="369D2CA0">
      <w:pPr>
        <w:keepNext w:val="0"/>
        <w:keepLines w:val="0"/>
        <w:pageBreakBefore w:val="0"/>
        <w:widowControl w:val="0"/>
        <w:numPr>
          <w:numId w:val="0"/>
        </w:numPr>
        <w:kinsoku/>
        <w:wordWrap/>
        <w:overflowPunct/>
        <w:topLinePunct w:val="0"/>
        <w:autoSpaceDE/>
        <w:autoSpaceDN/>
        <w:bidi w:val="0"/>
        <w:adjustRightInd/>
        <w:snapToGrid/>
        <w:spacing w:line="500" w:lineRule="exact"/>
        <w:jc w:val="right"/>
        <w:textAlignment w:val="auto"/>
        <w:rPr>
          <w:rFonts w:hint="eastAsia"/>
          <w:u w:val="none"/>
          <w:lang w:val="en-US" w:eastAsia="zh-CN"/>
        </w:rPr>
      </w:pPr>
      <w:r>
        <w:rPr>
          <w:rFonts w:hint="eastAsia"/>
          <w:u w:val="none"/>
          <w:lang w:val="en-US" w:eastAsia="zh-CN"/>
        </w:rPr>
        <w:t>法定代表人或授权代表：</w:t>
      </w:r>
      <w:r>
        <w:rPr>
          <w:rFonts w:hint="eastAsia"/>
          <w:u w:val="single"/>
          <w:lang w:val="en-US" w:eastAsia="zh-CN"/>
        </w:rPr>
        <w:t xml:space="preserve">    （盖章/签字）</w:t>
      </w:r>
    </w:p>
    <w:p w14:paraId="72E01212">
      <w:pPr>
        <w:keepNext w:val="0"/>
        <w:keepLines w:val="0"/>
        <w:pageBreakBefore w:val="0"/>
        <w:widowControl w:val="0"/>
        <w:numPr>
          <w:numId w:val="0"/>
        </w:numPr>
        <w:kinsoku/>
        <w:wordWrap/>
        <w:overflowPunct/>
        <w:topLinePunct w:val="0"/>
        <w:autoSpaceDE/>
        <w:autoSpaceDN/>
        <w:bidi w:val="0"/>
        <w:adjustRightInd/>
        <w:snapToGrid/>
        <w:spacing w:line="500" w:lineRule="exact"/>
        <w:jc w:val="right"/>
        <w:textAlignment w:val="auto"/>
        <w:rPr>
          <w:rFonts w:hint="default"/>
          <w:u w:val="none"/>
          <w:lang w:val="en-US" w:eastAsia="zh-CN"/>
        </w:rPr>
      </w:pPr>
      <w:r>
        <w:rPr>
          <w:rFonts w:hint="eastAsia"/>
          <w:u w:val="none"/>
          <w:lang w:val="en-US" w:eastAsia="zh-CN"/>
        </w:rPr>
        <w:t>日期：</w:t>
      </w:r>
      <w:r>
        <w:rPr>
          <w:rFonts w:hint="eastAsia"/>
          <w:u w:val="single"/>
          <w:lang w:val="en-US" w:eastAsia="zh-CN"/>
        </w:rPr>
        <w:t xml:space="preserve">   </w:t>
      </w:r>
      <w:r>
        <w:rPr>
          <w:rFonts w:hint="eastAsia"/>
          <w:u w:val="none"/>
          <w:lang w:val="en-US" w:eastAsia="zh-CN"/>
        </w:rPr>
        <w:t>年</w:t>
      </w:r>
      <w:r>
        <w:rPr>
          <w:rFonts w:hint="eastAsia"/>
          <w:u w:val="single"/>
          <w:lang w:val="en-US" w:eastAsia="zh-CN"/>
        </w:rPr>
        <w:t xml:space="preserve">   </w:t>
      </w:r>
      <w:r>
        <w:rPr>
          <w:rFonts w:hint="eastAsia"/>
          <w:u w:val="none"/>
          <w:lang w:val="en-US" w:eastAsia="zh-CN"/>
        </w:rPr>
        <w:t>月</w:t>
      </w:r>
      <w:r>
        <w:rPr>
          <w:rFonts w:hint="eastAsia"/>
          <w:u w:val="single"/>
          <w:lang w:val="en-US" w:eastAsia="zh-CN"/>
        </w:rPr>
        <w:t xml:space="preserve">   </w:t>
      </w:r>
      <w:r>
        <w:rPr>
          <w:rFonts w:hint="eastAsia"/>
          <w:u w:val="none"/>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C029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2025-08-03T10:14:18Z</dcterms:created>
  <dc:creator>Administrator</dc:creator>
  <cp:lastModifiedBy>我的名字特别长真的真的特别长</cp:lastModifiedBy>
  <dcterms:modified xsi:type="dcterms:W3CDTF">2025-08-03T10:25:55Z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eyJoZGlkIjoiNGI3NDAwZDNhZjY4ZTkxZTNmOTUyYzYxMzM2NTUyYzYiLCJ1c2VySWQiOiIyNzAxODY1MjMifQ==</vt:lpwstr>
  </property>
  <property fmtid="{D5CDD505-2E9C-101B-9397-08002B2CF9AE}" pid="4" name="ICV">
    <vt:lpwstr>5E1480747C80477DB7AE4F3DEC8A2FDF_12</vt:lpwstr>
  </property>
</Properties>
</file>