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版本号：HXCG-2025-HZ-08-0220250808001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2025年南郑区青树镇村道安全生命防护工程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HXCG-2025-HZ-08-02</w:t>
      </w:r>
      <w:r>
        <w:br/>
      </w:r>
      <w:r>
        <w:br/>
      </w:r>
      <w:r>
        <w:br/>
      </w:r>
    </w:p>
    <w:p>
      <w:pPr>
        <w:pStyle w:val="null3"/>
        <w:jc w:val="center"/>
        <w:outlineLvl w:val="2"/>
      </w:pPr>
      <w:r>
        <w:rPr>
          <w:rFonts w:ascii="仿宋_GB2312" w:hAnsi="仿宋_GB2312" w:cs="仿宋_GB2312" w:eastAsia="仿宋_GB2312"/>
          <w:sz w:val="28"/>
          <w:b/>
        </w:rPr>
        <w:t>汉中市南郑区青树镇人民政府</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汉中市南郑区青树镇人民政府</w:t>
      </w:r>
      <w:r>
        <w:rPr>
          <w:rFonts w:ascii="仿宋_GB2312" w:hAnsi="仿宋_GB2312" w:cs="仿宋_GB2312" w:eastAsia="仿宋_GB2312"/>
        </w:rPr>
        <w:t>委托，拟对</w:t>
      </w:r>
      <w:r>
        <w:rPr>
          <w:rFonts w:ascii="仿宋_GB2312" w:hAnsi="仿宋_GB2312" w:cs="仿宋_GB2312" w:eastAsia="仿宋_GB2312"/>
        </w:rPr>
        <w:t>2025年南郑区青树镇村道安全生命防护工程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HXCG-2025-HZ-08-02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2025年南郑区青树镇村道安全生命防护工程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2025年南郑区青树镇村道安全生命防护工程，主要建设内容主要工程内容:交通标志、Gr-C-4E型波形护栏、示警桩等，涉及23条通村公路。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采购包1（2025年南郑区青树镇村道安全生命防护工程）：属于专门面向中小企业采购。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企业法人、事业法人、其他组织，提供营业执照原件（事业单位须事业单位法人证、组织机构代码证等证明文件；其他组织应提供合法证明文件）；：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供应商应授权合法的人员参加磋商会议，其中法定代表人直接参加的，须出具法人身份证原件，并与营业执照上信息一致；授权代表参加的，须出具法定代表人授权书及被授权人身份证原件；：供应商应授权合法的人员参加磋商会议，其中法定代表人直接参加的，须出具法人身份证原件，并与营业执照上信息一致；授权代表参加的，须出具法定代表人授权书及被授权人身份证原件；</w:t>
      </w:r>
    </w:p>
    <w:p>
      <w:pPr>
        <w:pStyle w:val="null3"/>
      </w:pPr>
      <w:r>
        <w:rPr>
          <w:rFonts w:ascii="仿宋_GB2312" w:hAnsi="仿宋_GB2312" w:cs="仿宋_GB2312" w:eastAsia="仿宋_GB2312"/>
        </w:rPr>
        <w:t>3、供应商具有行政主管部门核发的公路工程施工总承包三级（含三级）及以上资质，且具有有效的安全生产许可证；：供应商具有行政主管部门核发的公路工程施工总承包三级（含三级）及以上资质，且具有有效的安全生产许可证；</w:t>
      </w:r>
    </w:p>
    <w:p>
      <w:pPr>
        <w:pStyle w:val="null3"/>
      </w:pPr>
      <w:r>
        <w:rPr>
          <w:rFonts w:ascii="仿宋_GB2312" w:hAnsi="仿宋_GB2312" w:cs="仿宋_GB2312" w:eastAsia="仿宋_GB2312"/>
        </w:rPr>
        <w:t>4、拟派项目经理须具备公路工程专业二级（含二级）以上注册建造师资格和安全生产考核合格B证，且无在建项目；：拟派项目经理须具备公路工程专业二级（含二级）以上注册建造师资格和安全生产考核合格B证，且无在建项目；</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本项目不接受联合体磋商；单位负责人为同一人或者存在控股、管理关系的不同单位不得同时参加本次磋商活动：本项目不接受联合体磋商；单位负责人为同一人或者存在控股、管理关系的不同单位不得同时参加本次磋商活动</w:t>
      </w:r>
    </w:p>
    <w:p>
      <w:pPr>
        <w:pStyle w:val="null3"/>
      </w:pPr>
      <w:r>
        <w:rPr>
          <w:rFonts w:ascii="仿宋_GB2312" w:hAnsi="仿宋_GB2312" w:cs="仿宋_GB2312" w:eastAsia="仿宋_GB2312"/>
        </w:rPr>
        <w:t>7、提供磋商保证金缴纳凭证：提供磋商保证金缴纳凭证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汉中市南郑区青树镇人民政府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青树镇南湖路18号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汉中市南郑区青树镇人民政府经办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18191625100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陕西省西安市经济技术开发区首创国际城八期 64栋楼 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18309161539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采购包1：1,350,183.00元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取参照国家计委颁布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汉中市南郑区青树镇人民政府</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汉中市南郑区青树镇人民政府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汉中市南郑区青树镇人民政府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联系电话：18309161539</w:t>
      </w:r>
    </w:p>
    <w:p>
      <w:pPr>
        <w:pStyle w:val="null3"/>
      </w:pPr>
      <w:r>
        <w:rPr>
          <w:rFonts w:ascii="仿宋_GB2312" w:hAnsi="仿宋_GB2312" w:cs="仿宋_GB2312" w:eastAsia="仿宋_GB2312"/>
        </w:rPr>
        <w:t>地址：陕西省西安市经济技术开发区首创国际城八期 64栋楼 307室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1,350,183.00</w:t>
      </w:r>
    </w:p>
    <w:p>
      <w:pPr>
        <w:pStyle w:val="null3"/>
      </w:pPr>
      <w:r>
        <w:rPr>
          <w:rFonts w:ascii="仿宋_GB2312" w:hAnsi="仿宋_GB2312" w:cs="仿宋_GB2312" w:eastAsia="仿宋_GB2312"/>
        </w:rPr>
        <w:t>采购包最高限价（元）: 1,350,183.00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村道安全生命防护工程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1,350,183.00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标的名称：村道安全生命防护工程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工程概况：</w:t>
            </w:r>
          </w:p>
          <w:p>
            <w:pPr>
              <w:pStyle w:val="null3"/>
              <w:ind w:firstLine="480"/>
              <w:jc w:val="both"/>
            </w:pPr>
            <w:r>
              <w:rPr>
                <w:rFonts w:ascii="仿宋_GB2312" w:hAnsi="仿宋_GB2312" w:cs="仿宋_GB2312" w:eastAsia="仿宋_GB2312"/>
                <w:sz w:val="24"/>
              </w:rPr>
              <w:t>2025年南郑区青树镇村道安全生命防护工程</w:t>
            </w:r>
            <w:r>
              <w:rPr>
                <w:rFonts w:ascii="仿宋_GB2312" w:hAnsi="仿宋_GB2312" w:cs="仿宋_GB2312" w:eastAsia="仿宋_GB2312"/>
                <w:sz w:val="24"/>
              </w:rPr>
              <w:t>，主要建设内容主要工程内容</w:t>
            </w:r>
            <w:r>
              <w:rPr>
                <w:rFonts w:ascii="仿宋_GB2312" w:hAnsi="仿宋_GB2312" w:cs="仿宋_GB2312" w:eastAsia="仿宋_GB2312"/>
                <w:sz w:val="24"/>
              </w:rPr>
              <w:t>:交通标志、Gr-C-4E型波形护栏、示警桩等，涉及23条通村公路。</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、编制依据</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1．《公路工程建设项目概算预算编制办法》（JTG 3830-2018），以下简称“编制办法”；</w:t>
            </w:r>
          </w:p>
          <w:p>
            <w:pPr>
              <w:pStyle w:val="null3"/>
              <w:ind w:firstLine="480"/>
              <w:jc w:val="both"/>
            </w:pPr>
            <w:r>
              <w:rPr>
                <w:rFonts w:ascii="仿宋_GB2312" w:hAnsi="仿宋_GB2312" w:cs="仿宋_GB2312" w:eastAsia="仿宋_GB2312"/>
                <w:sz w:val="24"/>
              </w:rPr>
              <w:t>2．《公路工程预算定额》（JTG/T 3832-2018）；</w:t>
            </w:r>
          </w:p>
          <w:p>
            <w:pPr>
              <w:pStyle w:val="null3"/>
              <w:ind w:firstLine="480"/>
              <w:jc w:val="both"/>
            </w:pPr>
            <w:r>
              <w:rPr>
                <w:rFonts w:ascii="仿宋_GB2312" w:hAnsi="仿宋_GB2312" w:cs="仿宋_GB2312" w:eastAsia="仿宋_GB2312"/>
                <w:sz w:val="24"/>
              </w:rPr>
              <w:t>3．《公路工程机械台班费用定额》（JTG/T 3833-2018）；</w:t>
            </w:r>
          </w:p>
          <w:p>
            <w:pPr>
              <w:pStyle w:val="null3"/>
              <w:ind w:firstLine="480"/>
              <w:jc w:val="both"/>
            </w:pPr>
            <w:r>
              <w:rPr>
                <w:rFonts w:ascii="仿宋_GB2312" w:hAnsi="仿宋_GB2312" w:cs="仿宋_GB2312" w:eastAsia="仿宋_GB2312"/>
                <w:sz w:val="24"/>
              </w:rPr>
              <w:t>4．陕西省交通运输厅关于印发《＜公路工程建设项目投资估算编制办法＞＜公路工程建设项目概算预算编制办法＞补充规定》的通知（陕交发〔2019〕93 号文件）；</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2025年南郑区青树镇村道安全生命防护工程</w:t>
            </w:r>
            <w:r>
              <w:rPr>
                <w:rFonts w:ascii="仿宋_GB2312" w:hAnsi="仿宋_GB2312" w:cs="仿宋_GB2312" w:eastAsia="仿宋_GB2312"/>
                <w:sz w:val="24"/>
              </w:rPr>
              <w:t>》施工图设计图纸；</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、直接费</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1、人工费:根据陕西省交通运输关于印发《&lt;公路工程建设项目投资估算编制办法&gt;&lt;公路工程建设项目概算预算编制办法&gt;补充规定》陕交发[2019]93文件的通知，公路工程生产工人人工费标准为105.89元/工日。</w:t>
            </w:r>
          </w:p>
          <w:p>
            <w:pPr>
              <w:pStyle w:val="null3"/>
              <w:ind w:firstLine="480"/>
              <w:jc w:val="both"/>
            </w:pPr>
            <w:r>
              <w:rPr>
                <w:rFonts w:ascii="仿宋_GB2312" w:hAnsi="仿宋_GB2312" w:cs="仿宋_GB2312" w:eastAsia="仿宋_GB2312"/>
                <w:sz w:val="24"/>
              </w:rPr>
              <w:t>2、材料单价计取，外购材料及部分地方材料单价根据陕西省交通厅发布的《</w:t>
            </w:r>
            <w:r>
              <w:rPr>
                <w:rFonts w:ascii="仿宋_GB2312" w:hAnsi="仿宋_GB2312" w:cs="仿宋_GB2312" w:eastAsia="仿宋_GB2312"/>
                <w:sz w:val="24"/>
              </w:rPr>
              <w:t>陕西省</w:t>
            </w:r>
            <w:r>
              <w:rPr>
                <w:rFonts w:ascii="仿宋_GB2312" w:hAnsi="仿宋_GB2312" w:cs="仿宋_GB2312" w:eastAsia="仿宋_GB2312"/>
                <w:sz w:val="24"/>
              </w:rPr>
              <w:t>2025年6月汉中地区公路工程主要材料价格信息</w:t>
            </w:r>
            <w:r>
              <w:rPr>
                <w:rFonts w:ascii="仿宋_GB2312" w:hAnsi="仿宋_GB2312" w:cs="仿宋_GB2312" w:eastAsia="仿宋_GB2312"/>
                <w:sz w:val="24"/>
              </w:rPr>
              <w:t>》并结合实地调查价格加运至工地的运杂费计算，材料单价均按陕交发</w:t>
            </w:r>
            <w:r>
              <w:rPr>
                <w:rFonts w:ascii="仿宋_GB2312" w:hAnsi="仿宋_GB2312" w:cs="仿宋_GB2312" w:eastAsia="仿宋_GB2312"/>
                <w:sz w:val="24"/>
              </w:rPr>
              <w:t>[2016]475号文件及交办公路[2016]66号文规定计算。</w:t>
            </w:r>
          </w:p>
          <w:p>
            <w:pPr>
              <w:pStyle w:val="null3"/>
              <w:ind w:firstLine="480"/>
              <w:jc w:val="both"/>
            </w:pPr>
            <w:r>
              <w:rPr>
                <w:rFonts w:ascii="仿宋_GB2312" w:hAnsi="仿宋_GB2312" w:cs="仿宋_GB2312" w:eastAsia="仿宋_GB2312"/>
                <w:sz w:val="24"/>
              </w:rPr>
              <w:t>3、机械费:按《公路工程机械班费用定额》(JTG/T3833-2018)执行，车船使用税按2012年1月10日陕西省人民政府令第153号公布的《陕西省车船税征收办法》计算:不变费用按交办公路[2016]66号文规定调整，可变费用中汽油、柴油单价按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6</w:t>
            </w:r>
            <w:r>
              <w:rPr>
                <w:rFonts w:ascii="仿宋_GB2312" w:hAnsi="仿宋_GB2312" w:cs="仿宋_GB2312" w:eastAsia="仿宋_GB2312"/>
                <w:sz w:val="24"/>
              </w:rPr>
              <w:t>月公布的陕西南部地区最新市场除税价计算。</w:t>
            </w:r>
          </w:p>
          <w:p>
            <w:pPr>
              <w:pStyle w:val="null3"/>
              <w:ind w:firstLine="480"/>
              <w:jc w:val="both"/>
            </w:pPr>
            <w:r>
              <w:rPr>
                <w:rFonts w:ascii="仿宋_GB2312" w:hAnsi="仿宋_GB2312" w:cs="仿宋_GB2312" w:eastAsia="仿宋_GB2312"/>
                <w:sz w:val="24"/>
              </w:rPr>
              <w:t>4、措施费、企业管理费及规费:措施费的冬季施工增加费费率按淮二区计取，雨季施工增加费费率按雨量1区3个月计算，施工增加费及施工辅助费、行车干扰增加费、工地转移费按《公路工程建设项目概算预算编制办法》(JTG 3830-2018)计取;夜间施工增加费、高原地区施工增加费、风沙地区增加费用、沿海地区施工增加费不计;企业管理费的基本费用、职工探亲路费、职工取暖补贴费、主副食运费补贴，财务费用按《公路工程建设项目概算预算编制办法》(JTG 3830-2018)计取，规费按陕交发[2019]93号文件规定计取。养老保险费费率16%,失业保险费费率0.7%,医疗保险费费率7.25%,住房公积金费率8.5%,工伤保险费费率0.91%，规费合计为33.36%。工地转移里程按地级市至施工路段距离计算，距离在50km以内的工程按50km计算;主副食运输综合里程按燃料、蔬菜、粮食、水实际运距综合计算，综合里程在3km以内的工程，按3km计取。</w:t>
            </w:r>
          </w:p>
          <w:p>
            <w:pPr>
              <w:pStyle w:val="null3"/>
              <w:ind w:firstLine="536"/>
              <w:jc w:val="left"/>
            </w:pPr>
            <w:r>
              <w:rPr>
                <w:rFonts w:ascii="仿宋_GB2312" w:hAnsi="仿宋_GB2312" w:cs="仿宋_GB2312" w:eastAsia="仿宋_GB2312"/>
                <w:sz w:val="24"/>
              </w:rPr>
              <w:t>5、利润:按定额直接费及措施费、企业管理费之和的7.42%计算。</w:t>
            </w:r>
          </w:p>
          <w:p>
            <w:pPr>
              <w:pStyle w:val="null3"/>
              <w:ind w:firstLine="536"/>
              <w:jc w:val="left"/>
            </w:pPr>
            <w:r>
              <w:rPr>
                <w:rFonts w:ascii="仿宋_GB2312" w:hAnsi="仿宋_GB2312" w:cs="仿宋_GB2312" w:eastAsia="仿宋_GB2312"/>
                <w:sz w:val="24"/>
              </w:rPr>
              <w:t>6、税金:按直接费、设备购置费、措施费、企业管理费、规费与利润之和的9%计算。</w:t>
            </w:r>
          </w:p>
          <w:p>
            <w:pPr>
              <w:pStyle w:val="null3"/>
              <w:jc w:val="left"/>
            </w:pPr>
            <w:r>
              <w:rPr>
                <w:rFonts w:ascii="仿宋_GB2312" w:hAnsi="仿宋_GB2312" w:cs="仿宋_GB2312" w:eastAsia="仿宋_GB2312"/>
                <w:sz w:val="24"/>
                <w:b/>
              </w:rPr>
              <w:t>四、问题说明</w:t>
            </w:r>
            <w:r>
              <w:rPr>
                <w:rFonts w:ascii="仿宋_GB2312" w:hAnsi="仿宋_GB2312" w:cs="仿宋_GB2312" w:eastAsia="仿宋_GB2312"/>
                <w:sz w:val="24"/>
                <w:b/>
              </w:rPr>
              <w:t>：</w:t>
            </w:r>
          </w:p>
          <w:p>
            <w:pPr>
              <w:pStyle w:val="null3"/>
            </w:pPr>
            <w:r>
              <w:rPr>
                <w:rFonts w:ascii="仿宋_GB2312" w:hAnsi="仿宋_GB2312" w:cs="仿宋_GB2312" w:eastAsia="仿宋_GB2312"/>
                <w:sz w:val="24"/>
              </w:rPr>
              <w:t>本项目暂列金按</w:t>
            </w:r>
            <w:r>
              <w:rPr>
                <w:rFonts w:ascii="仿宋_GB2312" w:hAnsi="仿宋_GB2312" w:cs="仿宋_GB2312" w:eastAsia="仿宋_GB2312"/>
                <w:sz w:val="24"/>
              </w:rPr>
              <w:t>3%计取</w:t>
            </w:r>
          </w:p>
          <w:p>
            <w:pPr>
              <w:pStyle w:val="null3"/>
            </w:pPr>
            <w:r>
              <w:rPr>
                <w:rFonts w:ascii="仿宋_GB2312" w:hAnsi="仿宋_GB2312" w:cs="仿宋_GB2312" w:eastAsia="仿宋_GB2312"/>
                <w:sz w:val="24"/>
                <w:b/>
              </w:rPr>
              <w:t>五、工期：</w:t>
            </w:r>
            <w:r>
              <w:rPr>
                <w:rFonts w:ascii="仿宋_GB2312" w:hAnsi="仿宋_GB2312" w:cs="仿宋_GB2312" w:eastAsia="仿宋_GB2312"/>
                <w:sz w:val="24"/>
              </w:rPr>
              <w:t>45日历天</w:t>
            </w:r>
          </w:p>
          <w:p>
            <w:pPr>
              <w:pStyle w:val="null3"/>
            </w:pPr>
            <w:r>
              <w:rPr>
                <w:rFonts w:ascii="仿宋_GB2312" w:hAnsi="仿宋_GB2312" w:cs="仿宋_GB2312" w:eastAsia="仿宋_GB2312"/>
                <w:sz w:val="24"/>
                <w:b/>
              </w:rPr>
              <w:t>六、质量目标：</w:t>
            </w:r>
            <w:r>
              <w:rPr>
                <w:rFonts w:ascii="仿宋_GB2312" w:hAnsi="仿宋_GB2312" w:cs="仿宋_GB2312" w:eastAsia="仿宋_GB2312"/>
                <w:sz w:val="24"/>
              </w:rPr>
              <w:t>合格</w:t>
            </w:r>
          </w:p>
          <w:p>
            <w:pPr>
              <w:pStyle w:val="null3"/>
            </w:pPr>
            <w:r>
              <w:rPr>
                <w:rFonts w:ascii="仿宋_GB2312" w:hAnsi="仿宋_GB2312" w:cs="仿宋_GB2312" w:eastAsia="仿宋_GB2312"/>
                <w:sz w:val="24"/>
                <w:b/>
              </w:rPr>
              <w:t>七、质保期：</w:t>
            </w:r>
            <w:r>
              <w:rPr>
                <w:rFonts w:ascii="仿宋_GB2312" w:hAnsi="仿宋_GB2312" w:cs="仿宋_GB2312" w:eastAsia="仿宋_GB2312"/>
                <w:sz w:val="24"/>
              </w:rPr>
              <w:t>2年</w:t>
            </w:r>
          </w:p>
          <w:p>
            <w:pPr>
              <w:pStyle w:val="null3"/>
            </w:pPr>
            <w:r>
              <w:rPr>
                <w:rFonts w:ascii="仿宋_GB2312" w:hAnsi="仿宋_GB2312" w:cs="仿宋_GB2312" w:eastAsia="仿宋_GB2312"/>
                <w:sz w:val="24"/>
                <w:b/>
              </w:rPr>
              <w:t>八、安全目标：</w:t>
            </w:r>
            <w:r>
              <w:rPr>
                <w:rFonts w:ascii="仿宋_GB2312" w:hAnsi="仿宋_GB2312" w:cs="仿宋_GB2312" w:eastAsia="仿宋_GB2312"/>
                <w:sz w:val="24"/>
              </w:rPr>
              <w:t>零死亡</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《小交通量农村公路交通安全设施设计细则》</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成交供应商在成交结果公示结束后5个工作日内向代理机构提供纸质版响应文件，响应文件为正本1份，副本2份、电子版1份（U盘注明单位名称）编辑目录和页码（响应文件内容须与电子交易平台上传文件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供应商应授权合法的人员参加磋商会议，其中法定代表人直接参加的，须出具法人身份证原件，并与营业执照上信息一致；授权代表参加的，须出具法定代表人授权书及被授权人身份证原件；</w:t>
            </w:r>
          </w:p>
        </w:tc>
        <w:tc>
          <w:tcPr>
            <w:tcW w:type="dxa" w:w="3322"/>
          </w:tcPr>
          <w:p>
            <w:pPr>
              <w:pStyle w:val="null3"/>
            </w:pPr>
            <w:r>
              <w:rPr>
                <w:rFonts w:ascii="仿宋_GB2312" w:hAnsi="仿宋_GB2312" w:cs="仿宋_GB2312" w:eastAsia="仿宋_GB2312"/>
              </w:rPr>
              <w:t>供应商应授权合法的人员参加磋商会议，其中法定代表人直接参加的，须出具法人身份证原件，并与营业执照上信息一致；授权代表参加的，须出具法定代表人授权书及被授权人身份证原件；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本项目不接受联合体磋商；单位负责人为同一人或者存在控股、管理关系的不同单位不得同时参加本次磋商活动</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本项目不接受联合体磋商；单位负责人为同一人或者存在控股、管理关系的不同单位不得同时参加本次磋商活动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提供磋商保证金缴纳凭证</w:t>
            </w:r>
          </w:p>
        </w:tc>
        <w:tc>
          <w:tcPr>
            <w:tcW w:type="dxa" w:w="3322"/>
          </w:tcPr>
          <w:p>
            <w:pPr>
              <w:pStyle w:val="null3"/>
            </w:pPr>
            <w:r>
              <w:rPr>
                <w:rFonts w:ascii="仿宋_GB2312" w:hAnsi="仿宋_GB2312" w:cs="仿宋_GB2312" w:eastAsia="仿宋_GB2312"/>
              </w:rPr>
              <w:t>提供磋商保证金缴纳凭证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工程质量及工程工期</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报价合理</w:t>
            </w:r>
          </w:p>
        </w:tc>
        <w:tc>
          <w:tcPr>
            <w:tcW w:type="dxa" w:w="3322"/>
          </w:tcPr>
          <w:p>
            <w:pPr>
              <w:pStyle w:val="null3"/>
            </w:pPr>
            <w:r>
              <w:rPr>
                <w:rFonts w:ascii="仿宋_GB2312" w:hAnsi="仿宋_GB2312" w:cs="仿宋_GB2312" w:eastAsia="仿宋_GB2312"/>
              </w:rPr>
              <w:t>只能有一个有效报价，不得提交选择性报价，且报价不超过采购预算；</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提供详细完整的服务方案。包含但不限于：日常维护，应急响应速度及措施，质量保证承诺等进行综合赋分，方案详实充分，根据响应情况赋分0-5分，未提供的不计分。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供应商提供2022年至今完成类似项目业绩，每提供1个业绩得2.5分，此项最高得5分；（注：业绩评审需提供项目中标通知书及施工合同复印件，缺一无效）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针对本项目提供科学、可行、合理的施工方案； （一般0-2分，良2.1-6分；优6.1-10分）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施工安全保证措施</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措施科学、合理、可行；（一般0-2分，良2.1-5分；优5.1-7分）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施工进度计划及工期保证措施</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文明施工及环境保护措施</w:t>
            </w:r>
          </w:p>
        </w:tc>
      </w:tr>
      <w:tr>
        <w:tc>
          <w:tcPr>
            <w:tcW w:type="dxa" w:w="831"/>
            <w:vMerge/>
          </w:tcPr>
          <w:p/>
        </w:tc>
        <w:tc>
          <w:tcPr>
            <w:tcW w:type="dxa" w:w="1661"/>
          </w:tcPr>
          <w:p>
            <w:pPr>
              <w:pStyle w:val="null3"/>
            </w:pPr>
            <w:r>
              <w:rPr>
                <w:rFonts w:ascii="仿宋_GB2312" w:hAnsi="仿宋_GB2312" w:cs="仿宋_GB2312" w:eastAsia="仿宋_GB2312"/>
              </w:rPr>
              <w:t>主要机械设备</w:t>
            </w:r>
          </w:p>
        </w:tc>
        <w:tc>
          <w:tcPr>
            <w:tcW w:type="dxa" w:w="2492"/>
          </w:tcPr>
          <w:p>
            <w:pPr>
              <w:pStyle w:val="null3"/>
            </w:pPr>
            <w:r>
              <w:rPr>
                <w:rFonts w:ascii="仿宋_GB2312" w:hAnsi="仿宋_GB2312" w:cs="仿宋_GB2312" w:eastAsia="仿宋_GB2312"/>
              </w:rPr>
              <w:t>机械设备配备齐全、科学、合理；（一般0-2分，良2.1-5优5.1-7分）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主要机械设备</w:t>
            </w:r>
          </w:p>
        </w:tc>
      </w:tr>
      <w:tr>
        <w:tc>
          <w:tcPr>
            <w:tcW w:type="dxa" w:w="831"/>
            <w:vMerge/>
          </w:tcPr>
          <w:p/>
        </w:tc>
        <w:tc>
          <w:tcPr>
            <w:tcW w:type="dxa" w:w="1661"/>
          </w:tcPr>
          <w:p>
            <w:pPr>
              <w:pStyle w:val="null3"/>
            </w:pPr>
            <w:r>
              <w:rPr>
                <w:rFonts w:ascii="仿宋_GB2312" w:hAnsi="仿宋_GB2312" w:cs="仿宋_GB2312" w:eastAsia="仿宋_GB2312"/>
              </w:rPr>
              <w:t>项目拟派人员安排</w:t>
            </w:r>
          </w:p>
        </w:tc>
        <w:tc>
          <w:tcPr>
            <w:tcW w:type="dxa" w:w="2492"/>
          </w:tcPr>
          <w:p>
            <w:pPr>
              <w:pStyle w:val="null3"/>
            </w:pPr>
            <w:r>
              <w:rPr>
                <w:rFonts w:ascii="仿宋_GB2312" w:hAnsi="仿宋_GB2312" w:cs="仿宋_GB2312" w:eastAsia="仿宋_GB2312"/>
              </w:rPr>
              <w:t>组织结构完整，人员配置合理，职责明确；（一般0-2分，良2.1-4分，优4.1-5分）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1、满足磋商文件要求且磋商响应最低的报价（最后的响应报价）为评标基准价，其价格分为满分。其他磋商供应商的价格分统一按照下列公式计算：磋商报价得分=（评标基准价/评标报价）×30； 2、注:评审小组二分之一以上专家认为某投标报价有低于成本价嫌疑的，且供应商无法证明其价格合理性的，为无效报价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详见附件：类似业绩情况表</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详见附件：施工质量保证措施</w:t>
      </w:r>
    </w:p>
    <w:p>
      <w:pPr>
        <w:pStyle w:val="null3"/>
        <w:ind w:firstLine="960"/>
      </w:pPr>
      <w:r>
        <w:rPr>
          <w:rFonts w:ascii="仿宋_GB2312" w:hAnsi="仿宋_GB2312" w:cs="仿宋_GB2312" w:eastAsia="仿宋_GB2312"/>
        </w:rPr>
        <w:t>详见附件：施工安全保证措施</w:t>
      </w:r>
    </w:p>
    <w:p>
      <w:pPr>
        <w:pStyle w:val="null3"/>
        <w:ind w:firstLine="960"/>
      </w:pPr>
      <w:r>
        <w:rPr>
          <w:rFonts w:ascii="仿宋_GB2312" w:hAnsi="仿宋_GB2312" w:cs="仿宋_GB2312" w:eastAsia="仿宋_GB2312"/>
        </w:rPr>
        <w:t>详见附件：施工进度计划及工期保证措施</w:t>
      </w:r>
    </w:p>
    <w:p>
      <w:pPr>
        <w:pStyle w:val="null3"/>
        <w:ind w:firstLine="960"/>
      </w:pPr>
      <w:r>
        <w:rPr>
          <w:rFonts w:ascii="仿宋_GB2312" w:hAnsi="仿宋_GB2312" w:cs="仿宋_GB2312" w:eastAsia="仿宋_GB2312"/>
        </w:rPr>
        <w:t>详见附件：文明施工及环境保护措施</w:t>
      </w:r>
    </w:p>
    <w:p>
      <w:pPr>
        <w:pStyle w:val="null3"/>
        <w:ind w:firstLine="960"/>
      </w:pPr>
      <w:r>
        <w:rPr>
          <w:rFonts w:ascii="仿宋_GB2312" w:hAnsi="仿宋_GB2312" w:cs="仿宋_GB2312" w:eastAsia="仿宋_GB2312"/>
        </w:rPr>
        <w:t>详见附件：主要机械设备</w:t>
      </w:r>
    </w:p>
    <w:p>
      <w:pPr>
        <w:pStyle w:val="null3"/>
        <w:ind w:firstLine="960"/>
      </w:pPr>
      <w:r>
        <w:rPr>
          <w:rFonts w:ascii="仿宋_GB2312" w:hAnsi="仿宋_GB2312" w:cs="仿宋_GB2312" w:eastAsia="仿宋_GB2312"/>
        </w:rPr>
        <w:t>详见附件：人员配备情况表.docx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