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版本号：SXDY-ZFCG-NZ-20250701.1B120250807001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2025年南郑区碑坝镇茶园村产业道路项目(二次)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SXDY-ZFCG-NZ-20250701.1B1</w:t>
      </w:r>
      <w:r>
        <w:br/>
      </w:r>
      <w:r>
        <w:br/>
      </w:r>
      <w:r>
        <w:br/>
      </w:r>
    </w:p>
    <w:p>
      <w:pPr>
        <w:pStyle w:val="null3"/>
        <w:jc w:val="center"/>
        <w:outlineLvl w:val="2"/>
      </w:pPr>
      <w:r>
        <w:rPr>
          <w:rFonts w:ascii="仿宋_GB2312" w:hAnsi="仿宋_GB2312" w:cs="仿宋_GB2312" w:eastAsia="仿宋_GB2312"/>
          <w:sz w:val="28"/>
          <w:b/>
        </w:rPr>
        <w:t>汉中市南郑区碑坝镇人民政府</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汉中市南郑区碑坝镇人民政府</w:t>
      </w:r>
      <w:r>
        <w:rPr>
          <w:rFonts w:ascii="仿宋_GB2312" w:hAnsi="仿宋_GB2312" w:cs="仿宋_GB2312" w:eastAsia="仿宋_GB2312"/>
        </w:rPr>
        <w:t>委托，拟对</w:t>
      </w:r>
      <w:r>
        <w:rPr>
          <w:rFonts w:ascii="仿宋_GB2312" w:hAnsi="仿宋_GB2312" w:cs="仿宋_GB2312" w:eastAsia="仿宋_GB2312"/>
        </w:rPr>
        <w:t>2025年南郑区碑坝镇茶园村产业道路项目(二次)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SXDY-ZFCG-NZ-20250701.1B1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2025年南郑区碑坝镇茶园村产业道路项目(二次)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2025年南郑区碑坝镇茶园村产业道路项目，该项目建设地点位于汉中市南郑区碑坝茶园村，路线全长 3.5 公里，路线1起点位于茶园村麻柳林，终点止于鸭子溪。路线2起点位于朱晋屋坎下，终点止于黄志明老屋基。全线行车道为20cm厚砂夹石路面，路基宽度3.0m。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采购包1（2025年南郑区碑坝镇茶园村产业道路项目）：属于专门面向中小企业采购。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3、企业资质要求：供应商须提供建设行政主管部门颁发的公路工程施工总承包三级及以上资质，并提供有效的安全生产许可证。</w:t>
      </w:r>
    </w:p>
    <w:p>
      <w:pPr>
        <w:pStyle w:val="null3"/>
      </w:pPr>
      <w:r>
        <w:rPr>
          <w:rFonts w:ascii="仿宋_GB2312" w:hAnsi="仿宋_GB2312" w:cs="仿宋_GB2312" w:eastAsia="仿宋_GB2312"/>
        </w:rPr>
        <w:t>4、拟派项目负责人要求：供应商拟派项目负责人须在本单位注册，具备公路工程专业二级及以上注册建造师执业资格，并取得安全生产考核合格证书（交安B证），且无在建工程。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汉中市南郑区碑坝镇人民政府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0916-5491064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南郑区大河坎镇江南东路电子商务产业园区一号馆二楼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13630200029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汉中市南郑区碑坝镇人民政府</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汉中市南郑区碑坝镇人民政府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汉中市南郑区碑坝镇人民政府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联系人：潘先生</w:t>
      </w:r>
    </w:p>
    <w:p>
      <w:pPr>
        <w:pStyle w:val="null3"/>
      </w:pPr>
      <w:r>
        <w:rPr>
          <w:rFonts w:ascii="仿宋_GB2312" w:hAnsi="仿宋_GB2312" w:cs="仿宋_GB2312" w:eastAsia="仿宋_GB2312"/>
        </w:rPr>
        <w:t>联系电话：13630200029</w:t>
      </w:r>
    </w:p>
    <w:p>
      <w:pPr>
        <w:pStyle w:val="null3"/>
      </w:pPr>
      <w:r>
        <w:rPr>
          <w:rFonts w:ascii="仿宋_GB2312" w:hAnsi="仿宋_GB2312" w:cs="仿宋_GB2312" w:eastAsia="仿宋_GB2312"/>
        </w:rPr>
        <w:t>地址：南郑区大河坎镇江南东路电子商务产业园区一号馆二楼</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699,811.45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2025年南郑区碑坝镇茶园村产业道路项目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标的名称：2025年南郑区碑坝镇茶园村产业道路项目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r>
              <w:rPr>
                <w:rFonts w:ascii="仿宋_GB2312" w:hAnsi="仿宋_GB2312" w:cs="仿宋_GB2312" w:eastAsia="仿宋_GB2312"/>
                <w:sz w:val="21"/>
              </w:rPr>
              <w:t>该项目建设地点位于汉中市南郑区碑坝茶园村，路线全长</w:t>
            </w:r>
            <w:r>
              <w:rPr>
                <w:rFonts w:ascii="仿宋_GB2312" w:hAnsi="仿宋_GB2312" w:cs="仿宋_GB2312" w:eastAsia="仿宋_GB2312"/>
                <w:sz w:val="21"/>
              </w:rPr>
              <w:t xml:space="preserve"> 3.5 公里，路线1起点位于茶园村麻柳林，终点止于鸭子溪。路线2起点位于朱晋屋坎下，终点止于黄志明老屋基。全线行车道为20cm厚砂夹石路面，路基宽度3.0m。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二、招标范围：施工图设计范围内、工程量清单内的全部内容。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三、工程量清单：详见附件。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四、施工工期要求：60日历天。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五、报价要求：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六、</w:t>
            </w:r>
            <w:r>
              <w:rPr>
                <w:rFonts w:ascii="仿宋_GB2312" w:hAnsi="仿宋_GB2312" w:cs="仿宋_GB2312" w:eastAsia="仿宋_GB2312"/>
                <w:sz w:val="24"/>
              </w:rPr>
              <w:t>质量要求：</w:t>
            </w:r>
            <w:r>
              <w:rPr>
                <w:rFonts w:ascii="仿宋_GB2312" w:hAnsi="仿宋_GB2312" w:cs="仿宋_GB2312" w:eastAsia="仿宋_GB2312"/>
                <w:sz w:val="24"/>
              </w:rPr>
              <w:t>交工验收的质量评定：合格，</w:t>
            </w:r>
            <w:r>
              <w:rPr>
                <w:rFonts w:ascii="仿宋_GB2312" w:hAnsi="仿宋_GB2312" w:cs="仿宋_GB2312" w:eastAsia="仿宋_GB2312"/>
                <w:sz w:val="24"/>
              </w:rPr>
              <w:t>竣工验收的质量评定：合格；安全目标：</w:t>
            </w:r>
            <w:r>
              <w:rPr>
                <w:rFonts w:ascii="仿宋_GB2312" w:hAnsi="仿宋_GB2312" w:cs="仿宋_GB2312" w:eastAsia="仿宋_GB2312"/>
                <w:sz w:val="24"/>
              </w:rPr>
              <w:t>零伤亡、零事故，相关安全管理人员持证上岗率</w:t>
            </w:r>
            <w:r>
              <w:rPr>
                <w:rFonts w:ascii="仿宋_GB2312" w:hAnsi="仿宋_GB2312" w:cs="仿宋_GB2312" w:eastAsia="仿宋_GB2312"/>
                <w:sz w:val="24"/>
              </w:rPr>
              <w:t>100%，特种作业人员持证上岗率100%，“平安工地”考核得分90分及以上，现场安全防护标准化合格率100%。</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质量要求：交工验收的质量评定：合格，竣工验收的质量评定：合格。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法定代表人证明书与法定代表人授权书.pdf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供应商须提供建设行政主管部门颁发的公路工程施工总承包三级及以上资质，并提供有效的安全生产许可证。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供应商拟派项目负责人须在本单位注册，具备公路工程专业二级及以上注册建造师执业资格，并取得安全生产考核合格证书（交安B证），且无在建工程。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施工进度表或施工网络图.docx 质量承诺.docx 安全文明施工及环境保护.docx 服务承诺.docx 工期计划保障措施.docx 标的清单 供应商类似项目业绩一览表 安全生产技术组织措施.docx 主要人员简历表 监狱企业的证明文件 施工机械材料投入计划.docx 已标价工程量清单 中小企业声明函 合理化建议.docx 响应文件封面 法定代表人证明书与法定代表人授权书.pdf 汉中市政府采购供应商资格承诺函.pdf 项目管理机构组成表 拒绝政府采购领域商业贿赂承诺书.docx 残疾人福利性单位声明函 施工方案.docx 报价函 供应商应提交的相关资格证明材料.pdf 工程质量技术组织措施.docx 响应函 劳动力安排计划表.docx 风险预测及应急预案.docx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法定代表人证明书与法定代表人授权书.pdf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施工进度表或施工网络图.docx 质量承诺.docx 安全文明施工及环境保护.docx 服务承诺.docx 工期计划保障措施.docx 标的清单 供应商类似项目业绩一览表 安全生产技术组织措施.docx 主要人员简历表 监狱企业的证明文件 施工机械材料投入计划.docx 已标价工程量清单 中小企业声明函 合理化建议.docx 响应文件封面 法定代表人证明书与法定代表人授权书.pdf 汉中市政府采购供应商资格承诺函.pdf 项目管理机构组成表 残疾人福利性单位声明函 施工方案.docx 拒绝政府采购领域商业贿赂承诺书.docx 报价函 供应商应提交的相关资格证明材料.pdf 工程质量技术组织措施.docx 响应函 劳动力安排计划表.docx 风险预测及应急预案.docx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施工进度表或施工网络图.docx 质量承诺.docx 安全文明施工及环境保护.docx 服务承诺.docx 工期计划保障措施.docx 标的清单 供应商类似项目业绩一览表 安全生产技术组织措施.docx 主要人员简历表 监狱企业的证明文件 施工机械材料投入计划.docx 已标价工程量清单 中小企业声明函 合理化建议.docx 响应文件封面 法定代表人证明书与法定代表人授权书.pdf 汉中市政府采购供应商资格承诺函.pdf 项目管理机构组成表 残疾人福利性单位声明函 施工方案.docx 拒绝政府采购领域商业贿赂承诺书.docx 报价函 供应商应提交的相关资格证明材料.pdf 工程质量技术组织措施.docx 响应函 劳动力安排计划表.docx 风险预测及应急预案.docx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施工进度表或施工网络图.docx 质量承诺.docx 安全文明施工及环境保护.docx 服务承诺.docx 工期计划保障措施.docx 标的清单 供应商类似项目业绩一览表 安全生产技术组织措施.docx 主要人员简历表 监狱企业的证明文件 施工机械材料投入计划.docx 已标价工程量清单 中小企业声明函 合理化建议.docx 响应文件封面 法定代表人证明书与法定代表人授权书.pdf 汉中市政府采购供应商资格承诺函.pdf 项目管理机构组成表 拒绝政府采购领域商业贿赂承诺书.docx 残疾人福利性单位声明函 施工方案.docx 报价函 供应商应提交的相关资格证明材料.pdf 工程质量技术组织措施.docx 响应函 劳动力安排计划表.docx 风险预测及应急预案.docx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方案管理措施齐全，符合规范要求，在资金、材料、设备、劳动力资源投入符合本项目，技术上提出的方案科学、采用现代化的管理方法进行动态管理和控制的得10分；管理措施基本齐全，符合规范要求，在资金、材料、设备、劳动力资源投入合理，基本采用现代化的管理方法进行动态管理和控制的得4-9.9分；有内容但不符合项目实际情况的得1-3.9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制定、实施所需的组织机构、职责、程序以及采取的措施和资源配置满足要求，质量保证体系完全符合技术规范、操作规范、质量标准的得8分，制定、实施所需的组织机构、职责、程序以及采取的措施和资源配置基本满足，质量技术措施符合技术规范、操作规范的得3-7.9分，内容齐全但不符合项目实际情况的得1-2.9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工程质量技术组织措施.docx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施工现场安全生产保证体系建立完善，完全符合安全施工规范的得5分，施工现场安全生产保证体系建立基本完善，符合安全施工规范的得2-4.9分，内容齐全但不符合项目实际情况的得1-1.9分，未提供不得分。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安全生产技术组织措施.docx</w:t>
            </w:r>
          </w:p>
        </w:tc>
      </w:tr>
      <w:tr>
        <w:tc>
          <w:tcPr>
            <w:tcW w:type="dxa" w:w="831"/>
            <w:vMerge/>
          </w:tcPr>
          <w:p/>
        </w:tc>
        <w:tc>
          <w:tcPr>
            <w:tcW w:type="dxa" w:w="1661"/>
          </w:tcPr>
          <w:p>
            <w:pPr>
              <w:pStyle w:val="null3"/>
            </w:pPr>
            <w:r>
              <w:rPr>
                <w:rFonts w:ascii="仿宋_GB2312" w:hAnsi="仿宋_GB2312" w:cs="仿宋_GB2312" w:eastAsia="仿宋_GB2312"/>
              </w:rPr>
              <w:t>安全文明施工及环境保护</w:t>
            </w:r>
          </w:p>
        </w:tc>
        <w:tc>
          <w:tcPr>
            <w:tcW w:type="dxa" w:w="2492"/>
          </w:tcPr>
          <w:p>
            <w:pPr>
              <w:pStyle w:val="null3"/>
            </w:pPr>
            <w:r>
              <w:rPr>
                <w:rFonts w:ascii="仿宋_GB2312" w:hAnsi="仿宋_GB2312" w:cs="仿宋_GB2312" w:eastAsia="仿宋_GB2312"/>
              </w:rPr>
              <w:t>确保安全文明施工的技术组织措施及环境保护措施满足本项目要求得5分，组织措施安排基本完善得计2-4.9分，组织措施内容不完善不符合本工程具体情况得1-1.9分，未提供得不得分。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安全文明施工及环境保护.docx</w:t>
            </w:r>
          </w:p>
        </w:tc>
      </w:tr>
      <w:tr>
        <w:tc>
          <w:tcPr>
            <w:tcW w:type="dxa" w:w="831"/>
            <w:vMerge/>
          </w:tcPr>
          <w:p/>
        </w:tc>
        <w:tc>
          <w:tcPr>
            <w:tcW w:type="dxa" w:w="1661"/>
          </w:tcPr>
          <w:p>
            <w:pPr>
              <w:pStyle w:val="null3"/>
            </w:pPr>
            <w:r>
              <w:rPr>
                <w:rFonts w:ascii="仿宋_GB2312" w:hAnsi="仿宋_GB2312" w:cs="仿宋_GB2312" w:eastAsia="仿宋_GB2312"/>
              </w:rPr>
              <w:t>工期计划保障措施</w:t>
            </w:r>
          </w:p>
        </w:tc>
        <w:tc>
          <w:tcPr>
            <w:tcW w:type="dxa" w:w="2492"/>
          </w:tcPr>
          <w:p>
            <w:pPr>
              <w:pStyle w:val="null3"/>
            </w:pPr>
            <w:r>
              <w:rPr>
                <w:rFonts w:ascii="仿宋_GB2312" w:hAnsi="仿宋_GB2312" w:cs="仿宋_GB2312" w:eastAsia="仿宋_GB2312"/>
              </w:rPr>
              <w:t>工期计划保障措施满足需求得4分，工期保障措施基本完善得计2-3.9分，有工期保障措施内容不符合本工程具体情况得1-1.9分，未提供得不得分。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工期计划保障措施.docx</w:t>
            </w:r>
          </w:p>
        </w:tc>
      </w:tr>
      <w:tr>
        <w:tc>
          <w:tcPr>
            <w:tcW w:type="dxa" w:w="831"/>
            <w:vMerge/>
          </w:tcPr>
          <w:p/>
        </w:tc>
        <w:tc>
          <w:tcPr>
            <w:tcW w:type="dxa" w:w="1661"/>
          </w:tcPr>
          <w:p>
            <w:pPr>
              <w:pStyle w:val="null3"/>
            </w:pPr>
            <w:r>
              <w:rPr>
                <w:rFonts w:ascii="仿宋_GB2312" w:hAnsi="仿宋_GB2312" w:cs="仿宋_GB2312" w:eastAsia="仿宋_GB2312"/>
              </w:rPr>
              <w:t>施工机械材料投入计划</w:t>
            </w:r>
          </w:p>
        </w:tc>
        <w:tc>
          <w:tcPr>
            <w:tcW w:type="dxa" w:w="2492"/>
          </w:tcPr>
          <w:p>
            <w:pPr>
              <w:pStyle w:val="null3"/>
            </w:pPr>
            <w:r>
              <w:rPr>
                <w:rFonts w:ascii="仿宋_GB2312" w:hAnsi="仿宋_GB2312" w:cs="仿宋_GB2312" w:eastAsia="仿宋_GB2312"/>
              </w:rPr>
              <w:t>主要机械设备配置和材料投入能满足施工需要，根据本项目实际情况材料设备配套齐全，提供机械设备配置清单。材料设备种类齐全，满足施工要求得2-3分；材料设备种类少，有内容但不满足施工要求得1-1.9分。未提供得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施工机械材料投入计划.docx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进度表或施工网络图安排详尽、符合本工程进度得2-3分，有进度表或施工网络图安排但不符合本工程实际需求得1-1.9分，未提供得不得分。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施工进度表或施工网络图.docx</w:t>
            </w:r>
          </w:p>
        </w:tc>
      </w:tr>
      <w:tr>
        <w:tc>
          <w:tcPr>
            <w:tcW w:type="dxa" w:w="831"/>
            <w:vMerge/>
          </w:tcPr>
          <w:p/>
        </w:tc>
        <w:tc>
          <w:tcPr>
            <w:tcW w:type="dxa" w:w="1661"/>
          </w:tcPr>
          <w:p>
            <w:pPr>
              <w:pStyle w:val="null3"/>
            </w:pPr>
            <w:r>
              <w:rPr>
                <w:rFonts w:ascii="仿宋_GB2312" w:hAnsi="仿宋_GB2312" w:cs="仿宋_GB2312" w:eastAsia="仿宋_GB2312"/>
              </w:rPr>
              <w:t>劳动力安排计划表</w:t>
            </w:r>
          </w:p>
        </w:tc>
        <w:tc>
          <w:tcPr>
            <w:tcW w:type="dxa" w:w="2492"/>
          </w:tcPr>
          <w:p>
            <w:pPr>
              <w:pStyle w:val="null3"/>
            </w:pPr>
            <w:r>
              <w:rPr>
                <w:rFonts w:ascii="仿宋_GB2312" w:hAnsi="仿宋_GB2312" w:cs="仿宋_GB2312" w:eastAsia="仿宋_GB2312"/>
              </w:rPr>
              <w:t>劳动力安排计划能够充分推进本工程施工得3分，劳动力安排计划不足得2-2.9分，有劳动力安排计划但内容不符合本工程需求得1-1.9分，未提供得不得分。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劳动力安排计划表.docx</w:t>
            </w:r>
          </w:p>
        </w:tc>
      </w:tr>
      <w:tr>
        <w:tc>
          <w:tcPr>
            <w:tcW w:type="dxa" w:w="831"/>
            <w:vMerge/>
          </w:tcPr>
          <w:p/>
        </w:tc>
        <w:tc>
          <w:tcPr>
            <w:tcW w:type="dxa" w:w="1661"/>
          </w:tcPr>
          <w:p>
            <w:pPr>
              <w:pStyle w:val="null3"/>
            </w:pPr>
            <w:r>
              <w:rPr>
                <w:rFonts w:ascii="仿宋_GB2312" w:hAnsi="仿宋_GB2312" w:cs="仿宋_GB2312" w:eastAsia="仿宋_GB2312"/>
              </w:rPr>
              <w:t>风险预测及应急预案</w:t>
            </w:r>
          </w:p>
        </w:tc>
        <w:tc>
          <w:tcPr>
            <w:tcW w:type="dxa" w:w="2492"/>
          </w:tcPr>
          <w:p>
            <w:pPr>
              <w:pStyle w:val="null3"/>
            </w:pPr>
            <w:r>
              <w:rPr>
                <w:rFonts w:ascii="仿宋_GB2312" w:hAnsi="仿宋_GB2312" w:cs="仿宋_GB2312" w:eastAsia="仿宋_GB2312"/>
              </w:rPr>
              <w:t>风险预测方案考虑充分得当，防范、应急预案考虑全面得2-3分；有方案但内容不符合本工程具体情况1-1.9分，未提供得不得分。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风险预测及应急预案.docx</w:t>
            </w:r>
          </w:p>
        </w:tc>
      </w:tr>
      <w:tr>
        <w:tc>
          <w:tcPr>
            <w:tcW w:type="dxa" w:w="831"/>
            <w:vMerge/>
          </w:tcPr>
          <w:p/>
        </w:tc>
        <w:tc>
          <w:tcPr>
            <w:tcW w:type="dxa" w:w="1661"/>
          </w:tcPr>
          <w:p>
            <w:pPr>
              <w:pStyle w:val="null3"/>
            </w:pPr>
            <w:r>
              <w:rPr>
                <w:rFonts w:ascii="仿宋_GB2312" w:hAnsi="仿宋_GB2312" w:cs="仿宋_GB2312" w:eastAsia="仿宋_GB2312"/>
              </w:rPr>
              <w:t>项目组织管理人员构成</w:t>
            </w:r>
          </w:p>
        </w:tc>
        <w:tc>
          <w:tcPr>
            <w:tcW w:type="dxa" w:w="2492"/>
          </w:tcPr>
          <w:p>
            <w:pPr>
              <w:pStyle w:val="null3"/>
            </w:pPr>
            <w:r>
              <w:rPr>
                <w:rFonts w:ascii="仿宋_GB2312" w:hAnsi="仿宋_GB2312" w:cs="仿宋_GB2312" w:eastAsia="仿宋_GB2312"/>
              </w:rPr>
              <w:t>项目技术负责人（1分）为公路工程专业得1分，否则不得分；拟投入的资料员、施工员、质量员、材料员、安全员（安全员需附安全生产考核合格证书）其他人员应具有有效岗位证书，每一人计1分，满分5分，未提供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供应商根据项目特点，针对该项目提出切实可行的合理化建议3.1-5分，基本可行得2-3分，未提供不得分。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质量保修承诺完整、合理。综合评审，承诺完整、合理、符合本项目实际情况得5分，承诺较为合理、内容有所欠缺得2～4.9分，承诺无实质性内容、不够全面合理得1～1.9分，未提供得不得分。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质量承诺.docx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售后服务体系,针对本项目及采购人实际需求提供详细具体的售后服务措施及承诺满足要求得4分，售后服务体系方案基本满足，有承诺方案的得2-3.9分，有服务体系方案、承诺但内容不符合得1-1.9分，未提供得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今已完成的公路工程类似项目业绩，每提供一项得1.5分，最高不超过6分。（以中标通知书、施工合同、交工证书（验收报告）或完工证明为准，供应商在响应文件中附中标通知书、施工合同和交工证书（验收报告）或完工证明并加盖单位公章），未提供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投标价格最低的投标报价为评标基准价,其价格分为满分30分,其他供应商的价格分按照下列公式计算:投标报价得分=(评标基准价/投标报价)×30%×100。磋商报价明显低于其他供应商，经磋商小组质询后不能在规定时间内说明理由，或说明理由但磋商小组认为理由不能成立的，客观上形成不良竞争，按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详见附件：法定代表人证明书与法定代表人授权书.pdf</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详见附件：工程质量技术组织措施.docx</w:t>
      </w:r>
    </w:p>
    <w:p>
      <w:pPr>
        <w:pStyle w:val="null3"/>
        <w:ind w:firstLine="960"/>
      </w:pPr>
      <w:r>
        <w:rPr>
          <w:rFonts w:ascii="仿宋_GB2312" w:hAnsi="仿宋_GB2312" w:cs="仿宋_GB2312" w:eastAsia="仿宋_GB2312"/>
        </w:rPr>
        <w:t>详见附件：安全生产技术组织措施.docx</w:t>
      </w:r>
    </w:p>
    <w:p>
      <w:pPr>
        <w:pStyle w:val="null3"/>
        <w:ind w:firstLine="960"/>
      </w:pPr>
      <w:r>
        <w:rPr>
          <w:rFonts w:ascii="仿宋_GB2312" w:hAnsi="仿宋_GB2312" w:cs="仿宋_GB2312" w:eastAsia="仿宋_GB2312"/>
        </w:rPr>
        <w:t>详见附件：安全文明施工及环境保护.docx</w:t>
      </w:r>
    </w:p>
    <w:p>
      <w:pPr>
        <w:pStyle w:val="null3"/>
        <w:ind w:firstLine="960"/>
      </w:pPr>
      <w:r>
        <w:rPr>
          <w:rFonts w:ascii="仿宋_GB2312" w:hAnsi="仿宋_GB2312" w:cs="仿宋_GB2312" w:eastAsia="仿宋_GB2312"/>
        </w:rPr>
        <w:t>详见附件：工期计划保障措施.docx</w:t>
      </w:r>
    </w:p>
    <w:p>
      <w:pPr>
        <w:pStyle w:val="null3"/>
        <w:ind w:firstLine="960"/>
      </w:pPr>
      <w:r>
        <w:rPr>
          <w:rFonts w:ascii="仿宋_GB2312" w:hAnsi="仿宋_GB2312" w:cs="仿宋_GB2312" w:eastAsia="仿宋_GB2312"/>
        </w:rPr>
        <w:t>详见附件：施工机械材料投入计划.docx</w:t>
      </w:r>
    </w:p>
    <w:p>
      <w:pPr>
        <w:pStyle w:val="null3"/>
        <w:ind w:firstLine="960"/>
      </w:pPr>
      <w:r>
        <w:rPr>
          <w:rFonts w:ascii="仿宋_GB2312" w:hAnsi="仿宋_GB2312" w:cs="仿宋_GB2312" w:eastAsia="仿宋_GB2312"/>
        </w:rPr>
        <w:t>详见附件：施工进度表或施工网络图.docx</w:t>
      </w:r>
    </w:p>
    <w:p>
      <w:pPr>
        <w:pStyle w:val="null3"/>
        <w:ind w:firstLine="960"/>
      </w:pPr>
      <w:r>
        <w:rPr>
          <w:rFonts w:ascii="仿宋_GB2312" w:hAnsi="仿宋_GB2312" w:cs="仿宋_GB2312" w:eastAsia="仿宋_GB2312"/>
        </w:rPr>
        <w:t>详见附件：劳动力安排计划表.docx</w:t>
      </w:r>
    </w:p>
    <w:p>
      <w:pPr>
        <w:pStyle w:val="null3"/>
        <w:ind w:firstLine="960"/>
      </w:pPr>
      <w:r>
        <w:rPr>
          <w:rFonts w:ascii="仿宋_GB2312" w:hAnsi="仿宋_GB2312" w:cs="仿宋_GB2312" w:eastAsia="仿宋_GB2312"/>
        </w:rPr>
        <w:t>详见附件：风险预测及应急预案.docx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详见附件：质量承诺.docx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