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版本号：SXBPRZB-20250922.1.2B120250923001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南郑区2025年油菜绿色高产高效整建制推进示范（油菜肥料及播种机采购）项目(二次)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SXBPRZB-20250922.1.2B1</w:t>
      </w:r>
      <w:r>
        <w:br/>
      </w:r>
      <w:r>
        <w:br/>
      </w:r>
      <w:r>
        <w:br/>
      </w:r>
    </w:p>
    <w:p>
      <w:pPr>
        <w:pStyle w:val="null3"/>
        <w:jc w:val="center"/>
        <w:outlineLvl w:val="2"/>
      </w:pPr>
      <w:r>
        <w:rPr>
          <w:rFonts w:ascii="仿宋_GB2312" w:hAnsi="仿宋_GB2312" w:cs="仿宋_GB2312" w:eastAsia="仿宋_GB2312"/>
          <w:sz w:val="28"/>
          <w:b/>
        </w:rPr>
        <w:t>汉中市南郑区农业技术推广与培训中心</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汉中市南郑区农业技术推广与培训中心</w:t>
      </w:r>
      <w:r>
        <w:rPr>
          <w:rFonts w:ascii="仿宋_GB2312" w:hAnsi="仿宋_GB2312" w:cs="仿宋_GB2312" w:eastAsia="仿宋_GB2312"/>
        </w:rPr>
        <w:t>委托，拟对</w:t>
      </w:r>
      <w:r>
        <w:rPr>
          <w:rFonts w:ascii="仿宋_GB2312" w:hAnsi="仿宋_GB2312" w:cs="仿宋_GB2312" w:eastAsia="仿宋_GB2312"/>
        </w:rPr>
        <w:t>南郑区2025年油菜绿色高产高效整建制推进示范（油菜肥料及播种机采购）项目(二次)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SXBPRZB-20250922.1.2B1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南郑区2025年油菜绿色高产高效整建制推进示范（油菜肥料及播种机采购）项目(二次)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油菜肥料及播种机采购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采购包1（油菜缓释肥）：属于专门面向中小企业采购。</w:t>
      </w:r>
    </w:p>
    <w:p>
      <w:pPr>
        <w:pStyle w:val="null3"/>
      </w:pPr>
      <w:r>
        <w:rPr>
          <w:rFonts w:ascii="仿宋_GB2312" w:hAnsi="仿宋_GB2312" w:cs="仿宋_GB2312" w:eastAsia="仿宋_GB2312"/>
        </w:rPr>
        <w:t>采购包2（气动式油菜精量播种机）：属于专门面向中小企业采购。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2、法定代表人身份证明书原件；：法定代表人身份证明书原件；</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pPr>
      <w:r>
        <w:rPr>
          <w:rFonts w:ascii="仿宋_GB2312" w:hAnsi="仿宋_GB2312" w:cs="仿宋_GB2312" w:eastAsia="仿宋_GB2312"/>
        </w:rPr>
        <w:t>4、供应商需具有所投产品的肥料登记证或提供农业农村部肥料备案信息系统、省级农业农村部门肥料备案信息系统的备案凭证（供应商为代理商的提供加盖厂家公章的肥料登记证或备案证明材料）。：供应商需具有所投产品的肥料登记证或提供农业农村部肥料备案信息系统、省级农业农村部门肥料备案信息系统的备案凭证（供应商为代理商的提供加盖厂家公章的肥料登记证或备案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2、法定代表人身份证明书原件； ：法定代表人身份证明书原件；</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pPr>
      <w:r>
        <w:rPr>
          <w:rFonts w:ascii="仿宋_GB2312" w:hAnsi="仿宋_GB2312" w:cs="仿宋_GB2312" w:eastAsia="仿宋_GB2312"/>
        </w:rPr>
        <w:t>4、供应商需具有所投产品的生产许可证、技术、功能证明材料（包括但不限于检测报告、质量承诺书等）；供应商为代理商的需提供加盖厂家公章的相关证明材料及原厂授权书等证明材料）。：供应商需具有所投产品的生产许可证、技术、功能证明材料（包括但不限于检测报告、质量承诺书等）；供应商为代理商的需提供加盖厂家公章的相关证明材料及原厂授权书等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汉中市南郑区东大街37号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18091610829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p>
          <w:p>
            <w:pPr>
              <w:pStyle w:val="null3"/>
            </w:pPr>
            <w:r>
              <w:rPr>
                <w:rFonts w:ascii="仿宋_GB2312" w:hAnsi="仿宋_GB2312" w:cs="仿宋_GB2312" w:eastAsia="仿宋_GB2312"/>
              </w:rPr>
              <w:t>采购包2：160,000.00元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采购包1保证金金额：4,800.00元</w:t>
            </w:r>
          </w:p>
          <w:p>
            <w:pPr>
              <w:pStyle w:val="null3"/>
            </w:pPr>
            <w:r>
              <w:rPr>
                <w:rFonts w:ascii="仿宋_GB2312" w:hAnsi="仿宋_GB2312" w:cs="仿宋_GB2312" w:eastAsia="仿宋_GB2312"/>
              </w:rPr>
              <w:t>采购包2保证金金额：3,200.00元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汉中市南郑区农业技术推广与培训中心</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陕西博鹏瑞项目管理有限公司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1、国家相关标准、规范及有关技术文件。 2、合同、采购文件、响应文件及承诺。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国家相关标准、规范及有关技术文件。2、合同、采购文件、响应文件及承诺。</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联系电话：0916-8889891</w:t>
      </w:r>
    </w:p>
    <w:p>
      <w:pPr>
        <w:pStyle w:val="null3"/>
      </w:pPr>
      <w:r>
        <w:rPr>
          <w:rFonts w:ascii="仿宋_GB2312" w:hAnsi="仿宋_GB2312" w:cs="仿宋_GB2312" w:eastAsia="仿宋_GB2312"/>
        </w:rPr>
        <w:t>地址：汉台区兴汉路南缙颐·久玺台售楼部2楼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油菜肥料及播种机采购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油菜缓释肥</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气动式油菜精量播种机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标的名称：油菜缓释肥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油菜缓释肥，配方</w:t>
            </w:r>
            <w:r>
              <w:rPr>
                <w:rFonts w:ascii="仿宋_GB2312" w:hAnsi="仿宋_GB2312" w:cs="仿宋_GB2312" w:eastAsia="仿宋_GB2312"/>
                <w:sz w:val="28"/>
              </w:rPr>
              <w:t>：</w:t>
            </w:r>
            <w:r>
              <w:rPr>
                <w:rFonts w:ascii="仿宋_GB2312" w:hAnsi="仿宋_GB2312" w:cs="仿宋_GB2312" w:eastAsia="仿宋_GB2312"/>
                <w:sz w:val="28"/>
              </w:rPr>
              <w:t>氮</w:t>
            </w:r>
            <w:r>
              <w:rPr>
                <w:rFonts w:ascii="仿宋_GB2312" w:hAnsi="仿宋_GB2312" w:cs="仿宋_GB2312" w:eastAsia="仿宋_GB2312"/>
                <w:sz w:val="28"/>
              </w:rPr>
              <w:t>25-磷7-钾8、B(</w:t>
            </w:r>
            <w:r>
              <w:rPr>
                <w:rFonts w:ascii="仿宋_GB2312" w:hAnsi="仿宋_GB2312" w:cs="仿宋_GB2312" w:eastAsia="仿宋_GB2312"/>
                <w:sz w:val="28"/>
              </w:rPr>
              <w:t>硼</w:t>
            </w:r>
            <w:r>
              <w:rPr>
                <w:rFonts w:ascii="仿宋_GB2312" w:hAnsi="仿宋_GB2312" w:cs="仿宋_GB2312" w:eastAsia="仿宋_GB2312"/>
                <w:sz w:val="28"/>
              </w:rPr>
              <w:t>)≥0.15%</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包装为</w:t>
            </w:r>
            <w:r>
              <w:rPr>
                <w:rFonts w:ascii="仿宋_GB2312" w:hAnsi="仿宋_GB2312" w:cs="仿宋_GB2312" w:eastAsia="仿宋_GB2312"/>
                <w:sz w:val="28"/>
              </w:rPr>
              <w:t>50公斤；</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包装袋需印制</w:t>
            </w:r>
            <w:r>
              <w:rPr>
                <w:rFonts w:ascii="仿宋_GB2312" w:hAnsi="仿宋_GB2312" w:cs="仿宋_GB2312" w:eastAsia="仿宋_GB2312"/>
                <w:sz w:val="28"/>
              </w:rPr>
              <w:t>“政府采购非卖品”字样；</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中标单位需按照采购单位要求，配送至指定地点；</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到货后中标方和甲方共同取样送至第三方检测机构进行检测，如含量不达标一切责任及经济损失由中标方承担。</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rPr>
              <w:t>执行标准为：GB/T15063-2020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标的名称：气动式油菜精量播种机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能同时完成旋耕、灭茬、播种、覆土、开沟、</w:t>
            </w:r>
            <w:r>
              <w:rPr>
                <w:rFonts w:ascii="仿宋_GB2312" w:hAnsi="仿宋_GB2312" w:cs="仿宋_GB2312" w:eastAsia="仿宋_GB2312"/>
                <w:sz w:val="28"/>
              </w:rPr>
              <w:t>起垄</w:t>
            </w:r>
            <w:r>
              <w:rPr>
                <w:rFonts w:ascii="仿宋_GB2312" w:hAnsi="仿宋_GB2312" w:cs="仿宋_GB2312" w:eastAsia="仿宋_GB2312"/>
                <w:sz w:val="28"/>
              </w:rPr>
              <w:t>、镇压；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具有雷达测速，卡种漏种监控，种位报警；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作业行数</w:t>
            </w:r>
            <w:r>
              <w:rPr>
                <w:rFonts w:ascii="仿宋_GB2312" w:hAnsi="仿宋_GB2312" w:cs="仿宋_GB2312" w:eastAsia="仿宋_GB2312"/>
                <w:sz w:val="28"/>
              </w:rPr>
              <w:t>12行内可调，播种量20公斤内可调；</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适配不同排种轮可播种油菜、小麦、水稻、玉米、大豆等农作物；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排种量排肥量调节方式</w:t>
            </w:r>
            <w:r>
              <w:rPr>
                <w:rFonts w:ascii="仿宋_GB2312" w:hAnsi="仿宋_GB2312" w:cs="仿宋_GB2312" w:eastAsia="仿宋_GB2312"/>
                <w:sz w:val="28"/>
              </w:rPr>
              <w:t>:手机APP/控制屏数字化输入部进电机调节；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排种器形式</w:t>
            </w:r>
            <w:r>
              <w:rPr>
                <w:rFonts w:ascii="仿宋_GB2312" w:hAnsi="仿宋_GB2312" w:cs="仿宋_GB2312" w:eastAsia="仿宋_GB2312"/>
                <w:sz w:val="28"/>
              </w:rPr>
              <w:t>:槽轮+气送；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作业幅宽</w:t>
            </w:r>
            <w:r>
              <w:rPr>
                <w:rFonts w:ascii="仿宋_GB2312" w:hAnsi="仿宋_GB2312" w:cs="仿宋_GB2312" w:eastAsia="仿宋_GB2312"/>
                <w:sz w:val="28"/>
              </w:rPr>
              <w:t>230厘米，旋耕作业时播种，覆土，镇压部分液压自动升起，不影响旋耕灭茬开沟</w:t>
            </w:r>
            <w:r>
              <w:rPr>
                <w:rFonts w:ascii="仿宋_GB2312" w:hAnsi="仿宋_GB2312" w:cs="仿宋_GB2312" w:eastAsia="仿宋_GB2312"/>
                <w:sz w:val="28"/>
              </w:rPr>
              <w:t>及起垄</w:t>
            </w:r>
            <w:r>
              <w:rPr>
                <w:rFonts w:ascii="仿宋_GB2312" w:hAnsi="仿宋_GB2312" w:cs="仿宋_GB2312" w:eastAsia="仿宋_GB2312"/>
                <w:sz w:val="28"/>
              </w:rPr>
              <w:t>作业；</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本机为示范示验机具，要求中标方临时提供一台</w:t>
            </w:r>
            <w:r>
              <w:rPr>
                <w:rFonts w:ascii="仿宋_GB2312" w:hAnsi="仿宋_GB2312" w:cs="仿宋_GB2312" w:eastAsia="仿宋_GB2312"/>
                <w:sz w:val="28"/>
              </w:rPr>
              <w:t>120马力拖拉机协助</w:t>
            </w:r>
            <w:r>
              <w:rPr>
                <w:rFonts w:ascii="仿宋_GB2312" w:hAnsi="仿宋_GB2312" w:cs="仿宋_GB2312" w:eastAsia="仿宋_GB2312"/>
                <w:sz w:val="28"/>
              </w:rPr>
              <w:t>采购单位</w:t>
            </w:r>
            <w:r>
              <w:rPr>
                <w:rFonts w:ascii="仿宋_GB2312" w:hAnsi="仿宋_GB2312" w:cs="仿宋_GB2312" w:eastAsia="仿宋_GB2312"/>
                <w:sz w:val="28"/>
              </w:rPr>
              <w:t>进行播种示范试验作业。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预付款：合同签订后，甲方需向乙方支付预付款项支持项目顺利开展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尾款：供货完成且验收全部合格后，甲方需向乙方支付尾款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预付款：合同签订后，甲方需向乙方支付预付款以支持项目顺利开展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尾款：供货结束及全部验收合格后，甲方需向乙方支付尾款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交付标准：合格标准； 验收依据： 1、国家相关标准、规范及有关技术文件。 2、合同、采购文件、响应文件及承诺。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交付标准:合格标准； 验收依据: 1、国家相关标准、规范及有关技术文件。 2、合同、采购文件、响应文件及承诺。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合同执行过程中如发生争议，双方应及时协商解决，协商不成，双方均可向项目所在地或甲方所在地人民法院起诉。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合同执行过程中如发生争议，双方应及时协商解决，协商不成，双方均可向项目所在地或甲方所在地人民法院起诉。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法定代表人身份证明书原件；</w:t>
            </w:r>
          </w:p>
        </w:tc>
        <w:tc>
          <w:tcPr>
            <w:tcW w:type="dxa" w:w="3322"/>
          </w:tcPr>
          <w:p>
            <w:pPr>
              <w:pStyle w:val="null3"/>
            </w:pPr>
            <w:r>
              <w:rPr>
                <w:rFonts w:ascii="仿宋_GB2312" w:hAnsi="仿宋_GB2312" w:cs="仿宋_GB2312" w:eastAsia="仿宋_GB2312"/>
              </w:rPr>
              <w:t>法定代表人身份证明书原件；</w:t>
            </w:r>
          </w:p>
        </w:tc>
        <w:tc>
          <w:tcPr>
            <w:tcW w:type="dxa" w:w="1661"/>
          </w:tcPr>
          <w:p>
            <w:pPr>
              <w:pStyle w:val="null3"/>
            </w:pPr>
            <w:r>
              <w:rPr>
                <w:rFonts w:ascii="仿宋_GB2312" w:hAnsi="仿宋_GB2312" w:cs="仿宋_GB2312" w:eastAsia="仿宋_GB2312"/>
              </w:rPr>
              <w:t>法定代表人身份证明书.docx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供应商需具有所投产品的肥料登记证或提供农业农村部肥料备案信息系统、省级农业农村部门肥料备案信息系统的备案凭证（供应商为代理商的提供加盖厂家公章的肥料登记证或备案证明材料）。</w:t>
            </w:r>
          </w:p>
        </w:tc>
        <w:tc>
          <w:tcPr>
            <w:tcW w:type="dxa" w:w="3322"/>
          </w:tcPr>
          <w:p>
            <w:pPr>
              <w:pStyle w:val="null3"/>
            </w:pPr>
            <w:r>
              <w:rPr>
                <w:rFonts w:ascii="仿宋_GB2312" w:hAnsi="仿宋_GB2312" w:cs="仿宋_GB2312" w:eastAsia="仿宋_GB2312"/>
              </w:rPr>
              <w:t>供应商需具有所投产品的肥料登记证或提供农业农村部肥料备案信息系统、省级农业农村部门肥料备案信息系统的备案凭证（供应商为代理商的提供加盖厂家公章的肥料登记证或备案证明材料）。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法定代表人身份证明书原件；</w:t>
            </w:r>
          </w:p>
        </w:tc>
        <w:tc>
          <w:tcPr>
            <w:tcW w:type="dxa" w:w="3322"/>
          </w:tcPr>
          <w:p>
            <w:pPr>
              <w:pStyle w:val="null3"/>
            </w:pPr>
            <w:r>
              <w:rPr>
                <w:rFonts w:ascii="仿宋_GB2312" w:hAnsi="仿宋_GB2312" w:cs="仿宋_GB2312" w:eastAsia="仿宋_GB2312"/>
              </w:rPr>
              <w:t>法定代表人身份证明书原件；</w:t>
            </w:r>
          </w:p>
        </w:tc>
        <w:tc>
          <w:tcPr>
            <w:tcW w:type="dxa" w:w="1661"/>
          </w:tcPr>
          <w:p>
            <w:pPr>
              <w:pStyle w:val="null3"/>
            </w:pPr>
            <w:r>
              <w:rPr>
                <w:rFonts w:ascii="仿宋_GB2312" w:hAnsi="仿宋_GB2312" w:cs="仿宋_GB2312" w:eastAsia="仿宋_GB2312"/>
              </w:rPr>
              <w:t>法定代表人身份证明书.docx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供应商需具有所投产品的生产许可证、技术、功能证明材料（包括但不限于检测报告、质量承诺书等）；供应商为代理商的需提供加盖厂家公章的相关证明材料及原厂授权书等证明材料）。</w:t>
            </w:r>
          </w:p>
        </w:tc>
        <w:tc>
          <w:tcPr>
            <w:tcW w:type="dxa" w:w="3322"/>
          </w:tcPr>
          <w:p>
            <w:pPr>
              <w:pStyle w:val="null3"/>
            </w:pPr>
            <w:r>
              <w:rPr>
                <w:rFonts w:ascii="仿宋_GB2312" w:hAnsi="仿宋_GB2312" w:cs="仿宋_GB2312" w:eastAsia="仿宋_GB2312"/>
              </w:rPr>
              <w:t>供应商需具有所投产品的生产许可证、技术、功能证明材料（包括但不限于检测报告、质量承诺书等）；供应商为代理商的需提供加盖厂家公章的相关证明材料及原厂授权书等证明材料）。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响应文件的签署、盖章符合谈判文件要求，供应商递交的响应文件项目名称与本项目名称一致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响应文件构成无重大缺项，是否实质性响应谈判文件</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响应文件构成无重大缺项，是否实质性响应谈判文件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响应文件的签署、盖章符合谈判文件要求，供应商递交的响应文件项目名称与本项目名称一致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响应文件构成无重大缺项，是否实质性响应谈判文件</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响应文件构成无重大缺项，是否实质性响应谈判文件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