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版本号：SXBPRZB-2025092320250924001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南郑区2025年油菜绿色高产高效整建制推进示范（油菜种子采购）项目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SXBPRZB-20250923</w:t>
      </w:r>
      <w:r>
        <w:br/>
      </w:r>
      <w:r>
        <w:br/>
      </w:r>
      <w:r>
        <w:br/>
      </w:r>
      <w:r>
        <w:br/>
      </w:r>
      <w:r>
        <w:br/>
      </w:r>
    </w:p>
    <w:p>
      <w:pPr>
        <w:pStyle w:val="null3"/>
        <w:jc w:val="center"/>
        <w:outlineLvl w:val="5"/>
      </w:pPr>
      <w:r>
        <w:rPr>
          <w:rFonts w:ascii="仿宋_GB2312" w:hAnsi="仿宋_GB2312" w:cs="仿宋_GB2312" w:eastAsia="仿宋_GB2312"/>
          <w:sz w:val="15"/>
          <w:b/>
        </w:rPr>
        <w:t>汉中市南郑区农业技术推广与培训中心</w:t>
      </w:r>
    </w:p>
    <w:p>
      <w:pPr>
        <w:pStyle w:val="null3"/>
        <w:jc w:val="center"/>
        <w:outlineLvl w:val="5"/>
      </w:pPr>
      <w:r>
        <w:rPr>
          <w:rFonts w:ascii="仿宋_GB2312" w:hAnsi="仿宋_GB2312" w:cs="仿宋_GB2312" w:eastAsia="仿宋_GB2312"/>
          <w:sz w:val="15"/>
          <w:b/>
        </w:rPr>
        <w:t>陕西博鹏瑞项目管理有限公司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汉中市南郑区农业技术推广与培训中心</w:t>
      </w:r>
      <w:r>
        <w:rPr>
          <w:rFonts w:ascii="仿宋_GB2312" w:hAnsi="仿宋_GB2312" w:cs="仿宋_GB2312" w:eastAsia="仿宋_GB2312"/>
        </w:rPr>
        <w:t>委托，拟对</w:t>
      </w:r>
      <w:r>
        <w:rPr>
          <w:rFonts w:ascii="仿宋_GB2312" w:hAnsi="仿宋_GB2312" w:cs="仿宋_GB2312" w:eastAsia="仿宋_GB2312"/>
        </w:rPr>
        <w:t>南郑区2025年油菜绿色高产高效整建制推进示范（油菜种子采购）项目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SXBPRZB-20250923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南郑区2025年油菜绿色高产高效整建制推进示范（油菜种子采购）项目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油菜籽采购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采购包1（油菜籽）：属于专门面向中小企业采购。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2、法定代表人身份证明书原件；：法定代表人身份证明书原件；</w:t>
      </w:r>
    </w:p>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p>
      <w:pPr>
        <w:pStyle w:val="null3"/>
      </w:pPr>
      <w:r>
        <w:rPr>
          <w:rFonts w:ascii="仿宋_GB2312" w:hAnsi="仿宋_GB2312" w:cs="仿宋_GB2312" w:eastAsia="仿宋_GB2312"/>
        </w:rPr>
        <w:t>4、投标人必须是所投产品的生产厂商或具备销售资格的经销商。投标人如为生产厂商应具备《种子生产许可证》，市级以上质量监督管理部门出具的种子质检报告。如为经销商须提 供产品的来源渠道合法的证明文件(包括但不限于销售协议、代理协议等)及生产厂家相关证件的复印件加盖公章。：投标人必须是所投产品的生产厂商或具备销售资格的经销商。投标人如为生产厂商应具备《种子生产许可证》，市级以上质量监督管理部门出具的种子质检报告。如为经销商须提 供产品的来源渠道合法的证明文件(包括但不限于销售协议、代理协议等)及生产厂家相关证件的复印件加盖公章。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汉中市南郑区东大街37号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18091610829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0916-8889891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汉中市南郑区农业技术推广与培训中心</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汉中市南郑区农业技术推广与培训中心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1、国家相关标准、规范及有关技术文件； 2、合同、采购文件、响应文件及承诺书。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油菜籽采购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油菜籽</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质量执行标准：GB4407.2-2024</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纯度≥86%，净度≥98%，发芽率≥82%，水分＜9%</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邡油777，1000 公斤</w:t>
            </w:r>
            <w:r>
              <w:br/>
            </w:r>
            <w:r>
              <w:rPr>
                <w:rFonts w:ascii="仿宋_GB2312" w:hAnsi="仿宋_GB2312" w:cs="仿宋_GB2312" w:eastAsia="仿宋_GB2312"/>
              </w:rPr>
              <w:t xml:space="preserve"> 秦优797，1000公斤</w:t>
            </w:r>
            <w:r>
              <w:br/>
            </w:r>
            <w:r>
              <w:rPr>
                <w:rFonts w:ascii="仿宋_GB2312" w:hAnsi="仿宋_GB2312" w:cs="仿宋_GB2312" w:eastAsia="仿宋_GB2312"/>
              </w:rPr>
              <w:t xml:space="preserve"> 华油杂115R，1000公斤</w:t>
            </w:r>
            <w:r>
              <w:br/>
            </w:r>
            <w:r>
              <w:rPr>
                <w:rFonts w:ascii="仿宋_GB2312" w:hAnsi="仿宋_GB2312" w:cs="仿宋_GB2312" w:eastAsia="仿宋_GB2312"/>
              </w:rPr>
              <w:t xml:space="preserve"> 沣优737R，1000公斤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预付款：合同签订后，甲方需向乙方支付预付款项支持项目顺利开展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尾款：供货完成且验收全部合格后，甲方需向乙方支付尾款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 验收依据： 1、国家相关标准、规范及有关技术文件。 2、合同、采购文件、响应文件及承诺。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采购内容范围内所有内容；1年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合同执行过程中如发生争议，双方应及时协商解决，协商不成，双方均可向项目所在地或甲方所在地人民法院起诉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法定代表人身份证明书原件；</w:t>
            </w:r>
          </w:p>
        </w:tc>
        <w:tc>
          <w:tcPr>
            <w:tcW w:type="dxa" w:w="3322"/>
          </w:tcPr>
          <w:p>
            <w:pPr>
              <w:pStyle w:val="null3"/>
            </w:pPr>
            <w:r>
              <w:rPr>
                <w:rFonts w:ascii="仿宋_GB2312" w:hAnsi="仿宋_GB2312" w:cs="仿宋_GB2312" w:eastAsia="仿宋_GB2312"/>
              </w:rPr>
              <w:t>法定代表人身份证明书原件；</w:t>
            </w:r>
          </w:p>
        </w:tc>
        <w:tc>
          <w:tcPr>
            <w:tcW w:type="dxa" w:w="1661"/>
          </w:tcPr>
          <w:p>
            <w:pPr>
              <w:pStyle w:val="null3"/>
            </w:pPr>
            <w:r>
              <w:rPr>
                <w:rFonts w:ascii="仿宋_GB2312" w:hAnsi="仿宋_GB2312" w:cs="仿宋_GB2312" w:eastAsia="仿宋_GB2312"/>
              </w:rPr>
              <w:t>法定代表人身份证明书.docx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投标人必须是所投产品的生产厂商或具备销售资格的经销商。投标人如为生产厂商应具备《种子生产许可证》，市级以上质量监督管理部门出具的种子质检报告。如为经销商须提 供产品的来源渠道合法的证明文件(包括但不限于销售协议、代理协议等)及生产厂家相关证件的复印件加盖公章。</w:t>
            </w:r>
          </w:p>
        </w:tc>
        <w:tc>
          <w:tcPr>
            <w:tcW w:type="dxa" w:w="3322"/>
          </w:tcPr>
          <w:p>
            <w:pPr>
              <w:pStyle w:val="null3"/>
            </w:pPr>
            <w:r>
              <w:rPr>
                <w:rFonts w:ascii="仿宋_GB2312" w:hAnsi="仿宋_GB2312" w:cs="仿宋_GB2312" w:eastAsia="仿宋_GB2312"/>
              </w:rPr>
              <w:t>投标人必须是所投产品的生产厂商或具备销售资格的经销商。投标人如为生产厂商应具备《种子生产许可证》，市级以上质量监督管理部门出具的种子质检报告。如为经销商须提 供产品的来源渠道合法的证明文件(包括但不限于销售协议、代理协议等)及生产厂家相关证件的复印件加盖公章。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（1）《国务院办公厅关于建立政府强制采购节能产品制度的通知》（国发办〔2007〕51号）； （2）《财政部司法部关于政府采购支持监狱企业发展有关问题的通知》（财库〔2014〕68号）； （3）《三部门联合发布关于促进残疾人就业政府采购政策的通知》（财库〔2017〕141号）； （4）陕西省财政厅关于印发《陕西省中小企业政府采购信用融资办法》（陕财办采〔2018〕23号）； （5）《财政部发展改革委生态环境部市场监管总局关于调整优化节能产品、环境标志产品政府采购执行机制的通知》（财库〔2019〕9号）； （6）陕西省财政厅《关于加快推进我省中小企业政府采购信用融资工作的通知》（陕财办采〔2020〕15号）； （7）《政府采购促进中小企业发展管理办法》（财库〔2020〕46号）； （8）《财政部农业农村部国家乡村振兴局关于运用政府采购政策支持乡村产业振兴的通知》（财库〔2021〕19号）； （9）《财政部农业农村部国家乡村振兴局中华全国供销合作总社关于印发&lt;关于深入开展政府采购脱贫地区农副产品工作推进乡村产业振兴的实施意见&gt;的通知》（财库〔2021〕20号）； （10）《陕西省财政厅关于进一步加强政府绿色采购有关问题的通知》（陕财办采〔2021〕29号）； （11）《财政部关于在政府采购活动中落实平等对待内外资企业有关政策的通知》（财库〔2021〕35号）； （12）《关于进一步加大政府采购支持中小企业力度的通知》（财库〔2022〕19号）； （13）《陕西省财政厅、中国人民银行西安分行关于深入推进政府采购信用融资业务的通知》陕财办采〔2023〕5号； （14）按相关规定需要落实的其他政府采购政策。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响应文件的签署、盖章符合采购文件要求，供应商递交的响应文件项目名称与本项目名称一致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是否提交项目实施方案</w:t>
            </w:r>
          </w:p>
        </w:tc>
        <w:tc>
          <w:tcPr>
            <w:tcW w:type="dxa" w:w="1661"/>
          </w:tcPr>
          <w:p>
            <w:pPr>
              <w:pStyle w:val="null3"/>
            </w:pPr>
            <w:r>
              <w:rPr>
                <w:rFonts w:ascii="仿宋_GB2312" w:hAnsi="仿宋_GB2312" w:cs="仿宋_GB2312" w:eastAsia="仿宋_GB2312"/>
              </w:rPr>
              <w:t>项目实施方案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是否实质性响应采购文件的技术要求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是否实质性响应采购文件商务要求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详见附件：政府采购合同主要条款格式（货物）.docx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