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版本号：NBC-2025-ZFCS-G-13120250927001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牟家坝镇朱家河村茶园道路硬化革命老区项目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NBC-2025-ZFCS-G-131</w:t>
      </w:r>
      <w:r>
        <w:br/>
      </w:r>
      <w:r>
        <w:br/>
      </w:r>
      <w:r>
        <w:br/>
      </w:r>
    </w:p>
    <w:p>
      <w:pPr>
        <w:pStyle w:val="null3"/>
        <w:jc w:val="center"/>
        <w:outlineLvl w:val="2"/>
      </w:pPr>
      <w:r>
        <w:rPr>
          <w:rFonts w:ascii="仿宋_GB2312" w:hAnsi="仿宋_GB2312" w:cs="仿宋_GB2312" w:eastAsia="仿宋_GB2312"/>
          <w:sz w:val="28"/>
          <w:b/>
        </w:rPr>
        <w:t>汉中市南郑区牟家坝镇人民政府</w:t>
      </w:r>
    </w:p>
    <w:p>
      <w:pPr>
        <w:pStyle w:val="null3"/>
        <w:jc w:val="center"/>
        <w:outlineLvl w:val="2"/>
      </w:pPr>
      <w:r>
        <w:rPr>
          <w:rFonts w:ascii="仿宋_GB2312" w:hAnsi="仿宋_GB2312" w:cs="仿宋_GB2312" w:eastAsia="仿宋_GB2312"/>
          <w:sz w:val="28"/>
          <w:b/>
        </w:rPr>
        <w:t>纳百川项目管理咨询有限公司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纳百川项目管理咨询有限公司</w:t>
      </w:r>
      <w:r>
        <w:rPr>
          <w:rFonts w:ascii="仿宋_GB2312" w:hAnsi="仿宋_GB2312" w:cs="仿宋_GB2312" w:eastAsia="仿宋_GB2312"/>
        </w:rPr>
        <w:t>（以下简称“代理机构”）受</w:t>
      </w:r>
      <w:r>
        <w:rPr>
          <w:rFonts w:ascii="仿宋_GB2312" w:hAnsi="仿宋_GB2312" w:cs="仿宋_GB2312" w:eastAsia="仿宋_GB2312"/>
        </w:rPr>
        <w:t>汉中市南郑区牟家坝镇人民政府</w:t>
      </w:r>
      <w:r>
        <w:rPr>
          <w:rFonts w:ascii="仿宋_GB2312" w:hAnsi="仿宋_GB2312" w:cs="仿宋_GB2312" w:eastAsia="仿宋_GB2312"/>
        </w:rPr>
        <w:t>委托，拟对</w:t>
      </w:r>
      <w:r>
        <w:rPr>
          <w:rFonts w:ascii="仿宋_GB2312" w:hAnsi="仿宋_GB2312" w:cs="仿宋_GB2312" w:eastAsia="仿宋_GB2312"/>
        </w:rPr>
        <w:t>牟家坝镇朱家河村茶园道路硬化革命老区项目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NBC-2025-ZFCS-G-131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牟家坝镇朱家河村茶园道路硬化革命老区项目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牟家坝镇朱家河村茶园道路硬化革命老区项目道路总长2900米，包含3条路线。其中：道路1长2000米，起点从唐汉林房前至冼新友房侧；道路2长772米，起点从黄道景门前至水库管理房;道路3长128米，起点从张振迪门前至温裕民门前。全线道路设计标准均为四级公路Ⅱ类，设计为18cm水泥混凝土面层+16cm水泥稳定砂砾基层，路面宽度3.5米，路基宽度4.5米，两侧土路肩各0.5米，具体建设内容以工程量清单描述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采购包1（牟家坝镇朱家河村茶园道路硬化革命老区项目）：属于专门面向中小企业采购。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企业法人、事业法人、其他组织，提供营业执照原件（事业单位须事业单位法人证、组织机构代码证等证明文件；其他组织应提供合法证明文件）；：供应商为具有独立承担民事责任能力的企业法人、事业法人、其他组织，提供营业执照原件（事业单位须事业单位法人证、组织机构代码证等证明文件；其他组织应提供合法证明文件）；</w:t>
      </w:r>
    </w:p>
    <w:p>
      <w:pPr>
        <w:pStyle w:val="null3"/>
      </w:pPr>
      <w:r>
        <w:rPr>
          <w:rFonts w:ascii="仿宋_GB2312" w:hAnsi="仿宋_GB2312" w:cs="仿宋_GB2312" w:eastAsia="仿宋_GB2312"/>
        </w:rPr>
        <w:t>2、法定代表人直接参加磋商的，须出具法人身份证(附法定代表人身份证复印件);法定代表人授权代表参加磋商的，须出具法定代表人授权书及授权代表身份证(附法定代表人身份证复印件及被授权人身份证复印件)。：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3、供应商具有行政主管部门核发的公路工程施工总承包三级（含三级）及以上资质，且具有有效的安全生产许可证；：供应商具有行政主管部门核发的公路工程施工总承包三级（含三级）及以上资质，且具有有效的安全生产许可证；</w:t>
      </w:r>
    </w:p>
    <w:p>
      <w:pPr>
        <w:pStyle w:val="null3"/>
      </w:pPr>
      <w:r>
        <w:rPr>
          <w:rFonts w:ascii="仿宋_GB2312" w:hAnsi="仿宋_GB2312" w:cs="仿宋_GB2312" w:eastAsia="仿宋_GB2312"/>
        </w:rPr>
        <w:t>4、拟派项目经理须具备公路工程专业二级（含二级）以上注册建造师资格和安全生产考核合格B证，且无在建项目：拟派项目经理须具备公路工程专业二级（含二级）以上注册建造师资格和安全生产考核合格B证，且无在建项目（需提供无在建承诺书）</w:t>
      </w:r>
    </w:p>
    <w:p>
      <w:pPr>
        <w:pStyle w:val="null3"/>
      </w:pPr>
      <w:r>
        <w:rPr>
          <w:rFonts w:ascii="仿宋_GB2312" w:hAnsi="仿宋_GB2312" w:cs="仿宋_GB2312" w:eastAsia="仿宋_GB2312"/>
        </w:rPr>
        <w:t>5、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6、本项目不接受联合体磋商；：本项目不接受联合体磋商（提供非联合体声明）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汉中市南郑区牟家坝镇人民政府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牟家坝镇人民政府中街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汉中市南郑区牟家坝镇人民政府府经办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18291662220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纳百川项目管理咨询有限公司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汉中市汉台区东一环路中饮办公中心8楼8008室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15319339961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0916-2995312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采购包1：1,876,805.00元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开户名称：纳百川项目管理咨询有限公司汉中分公司</w:t>
            </w:r>
          </w:p>
          <w:p>
            <w:pPr>
              <w:pStyle w:val="null3"/>
            </w:pPr>
            <w:r>
              <w:rPr>
                <w:rFonts w:ascii="仿宋_GB2312" w:hAnsi="仿宋_GB2312" w:cs="仿宋_GB2312" w:eastAsia="仿宋_GB2312"/>
              </w:rPr>
              <w:t>开户银行：中国工商银行股份有限公司汉中西环路支行</w:t>
            </w:r>
          </w:p>
          <w:p>
            <w:pPr>
              <w:pStyle w:val="null3"/>
            </w:pPr>
            <w:r>
              <w:rPr>
                <w:rFonts w:ascii="仿宋_GB2312" w:hAnsi="仿宋_GB2312" w:cs="仿宋_GB2312" w:eastAsia="仿宋_GB2312"/>
              </w:rPr>
              <w:t>银行账号：2606053909200086526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招标代理服务收费管理暂行办法》和国家发展改革委办公厅（发改办价格【2003】857号）和国家发展改革委（发改价格【2011】534号）文件的相关规定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汉中市南郑区牟家坝镇人民政府</w:t>
      </w:r>
      <w:r>
        <w:rPr>
          <w:rFonts w:ascii="仿宋_GB2312" w:hAnsi="仿宋_GB2312" w:cs="仿宋_GB2312" w:eastAsia="仿宋_GB2312"/>
        </w:rPr>
        <w:t>和</w:t>
      </w:r>
      <w:r>
        <w:rPr>
          <w:rFonts w:ascii="仿宋_GB2312" w:hAnsi="仿宋_GB2312" w:cs="仿宋_GB2312" w:eastAsia="仿宋_GB2312"/>
        </w:rPr>
        <w:t>纳百川项目管理咨询有限公司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汉中市南郑区牟家坝镇人民政府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纳百川项目管理咨询有限公司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汉中市南郑区牟家坝镇人民政府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纳百川项目管理咨询有限公司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符合国家相关规定和现行标准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纳百川项目管理咨询有限公司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纳百川项目管理咨询有限公司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纳百川项目管理咨询有限公司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联系人：李女士</w:t>
      </w:r>
    </w:p>
    <w:p>
      <w:pPr>
        <w:pStyle w:val="null3"/>
      </w:pPr>
      <w:r>
        <w:rPr>
          <w:rFonts w:ascii="仿宋_GB2312" w:hAnsi="仿宋_GB2312" w:cs="仿宋_GB2312" w:eastAsia="仿宋_GB2312"/>
        </w:rPr>
        <w:t>联系电话：15319339961</w:t>
      </w:r>
    </w:p>
    <w:p>
      <w:pPr>
        <w:pStyle w:val="null3"/>
      </w:pPr>
      <w:r>
        <w:rPr>
          <w:rFonts w:ascii="仿宋_GB2312" w:hAnsi="仿宋_GB2312" w:cs="仿宋_GB2312" w:eastAsia="仿宋_GB2312"/>
        </w:rPr>
        <w:t>地址：汉中市汉台区东一环路中饮办公中心8楼8008室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1,876,805.00</w:t>
      </w:r>
    </w:p>
    <w:p>
      <w:pPr>
        <w:pStyle w:val="null3"/>
      </w:pPr>
      <w:r>
        <w:rPr>
          <w:rFonts w:ascii="仿宋_GB2312" w:hAnsi="仿宋_GB2312" w:cs="仿宋_GB2312" w:eastAsia="仿宋_GB2312"/>
        </w:rPr>
        <w:t>采购包最高限价（元）: 1,876,805.00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牟家坝镇朱家河村茶园道路硬化革命老区项目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1,876,805.00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标的名称：牟家坝镇朱家河村茶园道路硬化革命老区项目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需满足：1.《公路工程技术标准》(JTG BO1-2014);</w:t>
            </w:r>
          </w:p>
          <w:p>
            <w:pPr>
              <w:pStyle w:val="null3"/>
            </w:pPr>
            <w:r>
              <w:rPr>
                <w:rFonts w:ascii="仿宋_GB2312" w:hAnsi="仿宋_GB2312" w:cs="仿宋_GB2312" w:eastAsia="仿宋_GB2312"/>
              </w:rPr>
              <w:t>2.《公路路线设计规范》(JTG D20-2017)</w:t>
            </w:r>
            <w:r>
              <w:br/>
            </w:r>
            <w:r>
              <w:rPr>
                <w:rFonts w:ascii="仿宋_GB2312" w:hAnsi="仿宋_GB2312" w:cs="仿宋_GB2312" w:eastAsia="仿宋_GB2312"/>
              </w:rPr>
              <w:t xml:space="preserve"> 3.《公路路基设计规范》(JTG D30-2015)</w:t>
            </w:r>
            <w:r>
              <w:br/>
            </w:r>
            <w:r>
              <w:rPr>
                <w:rFonts w:ascii="仿宋_GB2312" w:hAnsi="仿宋_GB2312" w:cs="仿宋_GB2312" w:eastAsia="仿宋_GB2312"/>
              </w:rPr>
              <w:t xml:space="preserve"> 4.《公路水泥混凝土路面设计规范》(JTG D40-2011)</w:t>
            </w:r>
          </w:p>
          <w:p>
            <w:pPr>
              <w:pStyle w:val="null3"/>
            </w:pPr>
            <w:r>
              <w:rPr>
                <w:rFonts w:ascii="仿宋_GB2312" w:hAnsi="仿宋_GB2312" w:cs="仿宋_GB2312" w:eastAsia="仿宋_GB2312"/>
              </w:rPr>
              <w:t>5.《公路路面基层施工技术细则》(JTG/T F20-2015)</w:t>
            </w:r>
            <w:r>
              <w:br/>
            </w:r>
            <w:r>
              <w:rPr>
                <w:rFonts w:ascii="仿宋_GB2312" w:hAnsi="仿宋_GB2312" w:cs="仿宋_GB2312" w:eastAsia="仿宋_GB2312"/>
              </w:rPr>
              <w:t xml:space="preserve"> 6.《小交通量农村公路工程技术标准》(JTG 2111-2019)</w:t>
            </w:r>
          </w:p>
          <w:p>
            <w:pPr>
              <w:pStyle w:val="null3"/>
            </w:pPr>
            <w:r>
              <w:rPr>
                <w:rFonts w:ascii="仿宋_GB2312" w:hAnsi="仿宋_GB2312" w:cs="仿宋_GB2312" w:eastAsia="仿宋_GB2312"/>
              </w:rPr>
              <w:t>7.《小交通量农村公路工程设计规范》(JTG/T3311-2021)8.《公路建设项目环境影响评价规范》(JTG B03-2006)</w:t>
            </w:r>
            <w:r>
              <w:br/>
            </w:r>
            <w:r>
              <w:rPr>
                <w:rFonts w:ascii="仿宋_GB2312" w:hAnsi="仿宋_GB2312" w:cs="仿宋_GB2312" w:eastAsia="仿宋_GB2312"/>
              </w:rPr>
              <w:t xml:space="preserve"> 9.《陕西省公路建设工程质量工作指导意见》(陕交发(2018)130号)</w:t>
            </w:r>
          </w:p>
          <w:p>
            <w:pPr>
              <w:pStyle w:val="null3"/>
            </w:pPr>
            <w:r>
              <w:rPr>
                <w:rFonts w:ascii="仿宋_GB2312" w:hAnsi="仿宋_GB2312" w:cs="仿宋_GB2312" w:eastAsia="仿宋_GB2312"/>
              </w:rPr>
              <w:t>10.《公路桥涵设计通用规范》(JTG D60-2015)</w:t>
            </w:r>
            <w:r>
              <w:br/>
            </w:r>
            <w:r>
              <w:rPr>
                <w:rFonts w:ascii="仿宋_GB2312" w:hAnsi="仿宋_GB2312" w:cs="仿宋_GB2312" w:eastAsia="仿宋_GB2312"/>
              </w:rPr>
              <w:t xml:space="preserve"> 11.国家现行的其它设计标准、规范、规程、规定等。</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1.工期：90日历天</w:t>
            </w:r>
          </w:p>
          <w:p>
            <w:pPr>
              <w:pStyle w:val="null3"/>
            </w:pPr>
            <w:r>
              <w:rPr>
                <w:rFonts w:ascii="仿宋_GB2312" w:hAnsi="仿宋_GB2312" w:cs="仿宋_GB2312" w:eastAsia="仿宋_GB2312"/>
              </w:rPr>
              <w:t>2、质保期：2年</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根据现场踏勘资料，结合交通部颁《公路工程技术标准》(JTG B01-2014)、《小交通量农村公路工程设计规范》(JTG/T3311-2021)及地形情况综合分析，本项目路线按四级公路(Ⅱ类)公路标准设计，设计速度 15 km/h，路基宽度为4.5m，路面宽度为5.5m。路面类型:水泥混凝土路面，18cm 厚水泥混凝土面层(抗弯拉强度 4.0Mpa)+16cm 水泥稳定砂砾基层;4.标准轴载:BZZ-100;路面结构设计年限:10年。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达到国家及行业标准及采购人要求“合格”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因本项目为不见面开标，供应商无需在开标现场提交纸质响应文件，待采购结果发布后3个工作日内成交供应商向代理机构提交纸质版响应文件以便于存档，响应文件包括:正本壹份、副本壹份，电子版U盘壹份(含响应文件全部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报价函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供应商为具有独立承担民事责任能力的企业法人、事业法人、其他组织，提供营业执照原件（事业单位须事业单位法人证、组织机构代码证等证明文件；其他组织应提供合法证明文件）；</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供应商为具有独立承担民事责任能力的企业法人、事业法人、其他组织，提供营业执照原件（事业单位须事业单位法人证、组织机构代码证等证明文件；其他组织应提供合法证明文件）；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供应商具有行政主管部门核发的公路工程施工总承包三级（含三级）及以上资质，且具有有效的安全生产许可证；</w:t>
            </w:r>
          </w:p>
        </w:tc>
        <w:tc>
          <w:tcPr>
            <w:tcW w:type="dxa" w:w="3322"/>
          </w:tcPr>
          <w:p>
            <w:pPr>
              <w:pStyle w:val="null3"/>
            </w:pPr>
            <w:r>
              <w:rPr>
                <w:rFonts w:ascii="仿宋_GB2312" w:hAnsi="仿宋_GB2312" w:cs="仿宋_GB2312" w:eastAsia="仿宋_GB2312"/>
              </w:rPr>
              <w:t>供应商具有行政主管部门核发的公路工程施工总承包三级（含三级）及以上资质，且具有有效的安全生产许可证；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拟派项目经理须具备公路工程专业二级（含二级）以上注册建造师资格和安全生产考核合格B证，且无在建项目</w:t>
            </w:r>
          </w:p>
        </w:tc>
        <w:tc>
          <w:tcPr>
            <w:tcW w:type="dxa" w:w="3322"/>
          </w:tcPr>
          <w:p>
            <w:pPr>
              <w:pStyle w:val="null3"/>
            </w:pPr>
            <w:r>
              <w:rPr>
                <w:rFonts w:ascii="仿宋_GB2312" w:hAnsi="仿宋_GB2312" w:cs="仿宋_GB2312" w:eastAsia="仿宋_GB2312"/>
              </w:rPr>
              <w:t>拟派项目经理须具备公路工程专业二级（含二级）以上注册建造师资格和安全生产考核合格B证，且无在建项目（需提供无在建承诺书）</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本项目不接受联合体磋商（提供非联合体声明）</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 技术服务合同条款及其他商务要求应答表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响应文件上法定代表人或其委托代理人的签字齐全并加盖单位公章</w:t>
            </w:r>
          </w:p>
        </w:tc>
        <w:tc>
          <w:tcPr>
            <w:tcW w:type="dxa" w:w="1661"/>
          </w:tcPr>
          <w:p>
            <w:pPr>
              <w:pStyle w:val="null3"/>
            </w:pPr>
            <w:r>
              <w:rPr>
                <w:rFonts w:ascii="仿宋_GB2312" w:hAnsi="仿宋_GB2312" w:cs="仿宋_GB2312" w:eastAsia="仿宋_GB2312"/>
              </w:rPr>
              <w:t>响应文件封面 已标价工程量清单 中小企业声明函 报价函 标的清单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按照磋商文件要求提交了保证金</w:t>
            </w:r>
          </w:p>
        </w:tc>
        <w:tc>
          <w:tcPr>
            <w:tcW w:type="dxa" w:w="1661"/>
          </w:tcPr>
          <w:p>
            <w:pPr>
              <w:pStyle w:val="null3"/>
            </w:pPr>
            <w:r>
              <w:rPr>
                <w:rFonts w:ascii="仿宋_GB2312" w:hAnsi="仿宋_GB2312" w:cs="仿宋_GB2312" w:eastAsia="仿宋_GB2312"/>
              </w:rPr>
              <w:t>磋商保证金缴纳凭证</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总体施工方案</w:t>
            </w:r>
          </w:p>
        </w:tc>
        <w:tc>
          <w:tcPr>
            <w:tcW w:type="dxa" w:w="2492"/>
          </w:tcPr>
          <w:p>
            <w:pPr>
              <w:pStyle w:val="null3"/>
            </w:pPr>
            <w:r>
              <w:rPr>
                <w:rFonts w:ascii="仿宋_GB2312" w:hAnsi="仿宋_GB2312" w:cs="仿宋_GB2312" w:eastAsia="仿宋_GB2312"/>
              </w:rPr>
              <w:t>供应商根据本项目的性质特点、区域现状、现场作业的难点、重点等内容进行的描述以及解决方案。 ①．方案较详实，能贴合 3 条路线实际及技术标准，实用性一般，得 1-3 分； ②．方案较详实，贴合各路线现场情况及施工标准，实用性较强，得 3.1-5 分； ③.方案较详实，贴合各路线现场情况及施工标准，实用性较强，得 3.1-5 分； 此项未提供不得分。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总体施工方案.docx</w:t>
            </w:r>
          </w:p>
        </w:tc>
      </w:tr>
      <w:tr>
        <w:tc>
          <w:tcPr>
            <w:tcW w:type="dxa" w:w="831"/>
            <w:vMerge/>
          </w:tcPr>
          <w:p/>
        </w:tc>
        <w:tc>
          <w:tcPr>
            <w:tcW w:type="dxa" w:w="1661"/>
          </w:tcPr>
          <w:p>
            <w:pPr>
              <w:pStyle w:val="null3"/>
            </w:pPr>
            <w:r>
              <w:rPr>
                <w:rFonts w:ascii="仿宋_GB2312" w:hAnsi="仿宋_GB2312" w:cs="仿宋_GB2312" w:eastAsia="仿宋_GB2312"/>
              </w:rPr>
              <w:t>施工质量保证措施</w:t>
            </w:r>
          </w:p>
        </w:tc>
        <w:tc>
          <w:tcPr>
            <w:tcW w:type="dxa" w:w="2492"/>
          </w:tcPr>
          <w:p>
            <w:pPr>
              <w:pStyle w:val="null3"/>
            </w:pPr>
            <w:r>
              <w:rPr>
                <w:rFonts w:ascii="仿宋_GB2312" w:hAnsi="仿宋_GB2312" w:cs="仿宋_GB2312" w:eastAsia="仿宋_GB2312"/>
              </w:rPr>
              <w:t>针对本项目统一技术标准，评审质量管理体系及保证措施：① 体系及措施编制科学合理，基本符合四级公路 Ⅱ 类技术规范及质量标准，得 1-3 分； ② 体系及措施编制较科学合理、较详尽，能覆盖面层平整度、基层压实度等关键指标控制，较符合技术规范及质量标准，得 3.1-5 分； ③ 体系及措施编制科学合理、完整详尽，全面覆盖 3 条路线路基处理、基层养护、面层浇筑等全流程质量管控，完全符合技术规范及质量标准，得 5.1-7 分； 此项未提供不得分。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施工质量保证措施.docx</w:t>
            </w:r>
          </w:p>
        </w:tc>
      </w:tr>
      <w:tr>
        <w:tc>
          <w:tcPr>
            <w:tcW w:type="dxa" w:w="831"/>
            <w:vMerge/>
          </w:tcPr>
          <w:p/>
        </w:tc>
        <w:tc>
          <w:tcPr>
            <w:tcW w:type="dxa" w:w="1661"/>
          </w:tcPr>
          <w:p>
            <w:pPr>
              <w:pStyle w:val="null3"/>
            </w:pPr>
            <w:r>
              <w:rPr>
                <w:rFonts w:ascii="仿宋_GB2312" w:hAnsi="仿宋_GB2312" w:cs="仿宋_GB2312" w:eastAsia="仿宋_GB2312"/>
              </w:rPr>
              <w:t>工期保证体系及保证措施</w:t>
            </w:r>
          </w:p>
        </w:tc>
        <w:tc>
          <w:tcPr>
            <w:tcW w:type="dxa" w:w="2492"/>
          </w:tcPr>
          <w:p>
            <w:pPr>
              <w:pStyle w:val="null3"/>
            </w:pPr>
            <w:r>
              <w:rPr>
                <w:rFonts w:ascii="仿宋_GB2312" w:hAnsi="仿宋_GB2312" w:cs="仿宋_GB2312" w:eastAsia="仿宋_GB2312"/>
              </w:rPr>
              <w:t>结合项目总长 2900 米、分 3 条路线施工的特点，评审工期保障能力① 体系及措施基本满足 3 条路线分段施工要求，对交叉作业、工序衔接的安排可行性一般，得 1-3 分； ② 体系及措施较合理，明确各路线施工时序，对基层养护、面层施工等关键工期节点把控到位，可行性较强，得 3.1-5 分； ③ 体系及措施合理，制定精准的分路线工期计划，能应对民房周边施工协调等影响工期的因素，可行性强，得 5.1-7 分； 此项未提供不得分。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工期保证体系及保证措施</w:t>
            </w:r>
          </w:p>
        </w:tc>
      </w:tr>
      <w:tr>
        <w:tc>
          <w:tcPr>
            <w:tcW w:type="dxa" w:w="831"/>
            <w:vMerge/>
          </w:tcPr>
          <w:p/>
        </w:tc>
        <w:tc>
          <w:tcPr>
            <w:tcW w:type="dxa" w:w="1661"/>
          </w:tcPr>
          <w:p>
            <w:pPr>
              <w:pStyle w:val="null3"/>
            </w:pPr>
            <w:r>
              <w:rPr>
                <w:rFonts w:ascii="仿宋_GB2312" w:hAnsi="仿宋_GB2312" w:cs="仿宋_GB2312" w:eastAsia="仿宋_GB2312"/>
              </w:rPr>
              <w:t>安全生产管理体系及保证措施</w:t>
            </w:r>
          </w:p>
        </w:tc>
        <w:tc>
          <w:tcPr>
            <w:tcW w:type="dxa" w:w="2492"/>
          </w:tcPr>
          <w:p>
            <w:pPr>
              <w:pStyle w:val="null3"/>
            </w:pPr>
            <w:r>
              <w:rPr>
                <w:rFonts w:ascii="仿宋_GB2312" w:hAnsi="仿宋_GB2312" w:cs="仿宋_GB2312" w:eastAsia="仿宋_GB2312"/>
              </w:rPr>
              <w:t>针对项目沿线民房密集、道路 2 临近水库的作业环境，及路面浇筑、基层碾压等施工环节风险:① 体系及措施基本合理，对人员安全、机械作业安全有基础管控，具有一定可行性，得 1-3 分； ② 体系及措施较合理，重点覆盖民房周边施工防护、水库区域作业安全，可行性较强，得 3.1-5 分； ③ 体系及措施合理，建立全流程安全管控机制，对临时用电、高空作业（若有）、机械交叉作业等风险防控措施具体，可行性强，得 5.1-7 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安全生产管理体系及保证措施</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结合项目途经多处村民居住区域的特点，评审文明施工方案： ① 措施比较合理，对施工扬尘、噪音控制有基本安排，针对性和实施性一般，得 1-3 分； ② 措施有针对性，明确民房周边施工围挡设置、施工垃圾清运、作业时间管控等要求，合理且可实施性强，得 3.1-5 分； 此项未提供不得分。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文明施工措施.docx</w:t>
            </w:r>
          </w:p>
        </w:tc>
      </w:tr>
      <w:tr>
        <w:tc>
          <w:tcPr>
            <w:tcW w:type="dxa" w:w="831"/>
            <w:vMerge/>
          </w:tcPr>
          <w:p/>
        </w:tc>
        <w:tc>
          <w:tcPr>
            <w:tcW w:type="dxa" w:w="1661"/>
          </w:tcPr>
          <w:p>
            <w:pPr>
              <w:pStyle w:val="null3"/>
            </w:pPr>
            <w:r>
              <w:rPr>
                <w:rFonts w:ascii="仿宋_GB2312" w:hAnsi="仿宋_GB2312" w:cs="仿宋_GB2312" w:eastAsia="仿宋_GB2312"/>
              </w:rPr>
              <w:t>施工环保措施及治污减霾保证措施</w:t>
            </w:r>
          </w:p>
        </w:tc>
        <w:tc>
          <w:tcPr>
            <w:tcW w:type="dxa" w:w="2492"/>
          </w:tcPr>
          <w:p>
            <w:pPr>
              <w:pStyle w:val="null3"/>
            </w:pPr>
            <w:r>
              <w:rPr>
                <w:rFonts w:ascii="仿宋_GB2312" w:hAnsi="仿宋_GB2312" w:cs="仿宋_GB2312" w:eastAsia="仿宋_GB2312"/>
              </w:rPr>
              <w:t>针对项目道路 2 临近水库的环保敏感点及普遍施工环保要求： ① 措施比较合理，对扬尘、废水处理有基础措施，针对性和实施性一般，得 1-3 分； ② 措施有针对性，重点制定水库周边施工环保防护、水泥等物料运输防泄漏、施工废水过滤处理等方案，合理且可实施性强，得 3.1-5 分； 此项未提供不得分。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施工环保措施及治污减霾保证措施</w:t>
            </w:r>
          </w:p>
        </w:tc>
      </w:tr>
      <w:tr>
        <w:tc>
          <w:tcPr>
            <w:tcW w:type="dxa" w:w="831"/>
            <w:vMerge/>
          </w:tcPr>
          <w:p/>
        </w:tc>
        <w:tc>
          <w:tcPr>
            <w:tcW w:type="dxa" w:w="1661"/>
          </w:tcPr>
          <w:p>
            <w:pPr>
              <w:pStyle w:val="null3"/>
            </w:pPr>
            <w:r>
              <w:rPr>
                <w:rFonts w:ascii="仿宋_GB2312" w:hAnsi="仿宋_GB2312" w:cs="仿宋_GB2312" w:eastAsia="仿宋_GB2312"/>
              </w:rPr>
              <w:t>项目的材料及机具配备保证措施</w:t>
            </w:r>
          </w:p>
        </w:tc>
        <w:tc>
          <w:tcPr>
            <w:tcW w:type="dxa" w:w="2492"/>
          </w:tcPr>
          <w:p>
            <w:pPr>
              <w:pStyle w:val="null3"/>
            </w:pPr>
            <w:r>
              <w:rPr>
                <w:rFonts w:ascii="仿宋_GB2312" w:hAnsi="仿宋_GB2312" w:cs="仿宋_GB2312" w:eastAsia="仿宋_GB2312"/>
              </w:rPr>
              <w:t>结合本项目水泥混凝土面层、水泥稳定砂砾基层施工需求及 3 条路线作业分布： ① 有机具设备投入计划，涵盖混凝土搅拌、基层碾压、面层摊铺等关键设备，较合理、基本符合工程特点，得 1-3 分； ② 有机具设备投入计划，明确各路线设备配置数量及时序，对设备维护、备用设备安排到位，合理可行、有针对性、符合工程特点，得 3.1-5 分； 此项未提供不得分。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项目的材料及机具配备保证措施.docx</w:t>
            </w:r>
          </w:p>
        </w:tc>
      </w:tr>
      <w:tr>
        <w:tc>
          <w:tcPr>
            <w:tcW w:type="dxa" w:w="831"/>
            <w:vMerge/>
          </w:tcPr>
          <w:p/>
        </w:tc>
        <w:tc>
          <w:tcPr>
            <w:tcW w:type="dxa" w:w="1661"/>
          </w:tcPr>
          <w:p>
            <w:pPr>
              <w:pStyle w:val="null3"/>
            </w:pPr>
            <w:r>
              <w:rPr>
                <w:rFonts w:ascii="仿宋_GB2312" w:hAnsi="仿宋_GB2312" w:cs="仿宋_GB2312" w:eastAsia="仿宋_GB2312"/>
              </w:rPr>
              <w:t>针对突发事件应急保证措施</w:t>
            </w:r>
          </w:p>
        </w:tc>
        <w:tc>
          <w:tcPr>
            <w:tcW w:type="dxa" w:w="2492"/>
          </w:tcPr>
          <w:p>
            <w:pPr>
              <w:pStyle w:val="null3"/>
            </w:pPr>
            <w:r>
              <w:rPr>
                <w:rFonts w:ascii="仿宋_GB2312" w:hAnsi="仿宋_GB2312" w:cs="仿宋_GB2312" w:eastAsia="仿宋_GB2312"/>
              </w:rPr>
              <w:t>根据供应商针对突发事件应急保障措施及迎检方案的可行性（包含恶劣天气影响、自然灾害及政府性重大活动，重大节假日等特殊情况制定应急处置方案等） ①应急保障措施及迎检方案有效、合理，具有一定实施性，得1-3分；； ②应急保障措施及迎检方案详尽、全面、有效、合理，可实施性强，得3.1-6分； 此项未提供不得分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针对突发事件应急保证措施.docx</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供应商提供自 2022 年 1 月至今完成过类似道路业绩，或单项合同金额≥100 万元且等级为四级公路（含 Ⅱ 类）的业绩，提供 1 个得 2.5 分，最高可得 5 分； 评审依据：提供加盖公章的中标通知书、合同协议书，时间以合同协议书签订时间为准； 此项未提供不得分。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近年类似业绩情况表</w:t>
            </w:r>
          </w:p>
        </w:tc>
      </w:tr>
      <w:tr>
        <w:tc>
          <w:tcPr>
            <w:tcW w:type="dxa" w:w="831"/>
            <w:vMerge/>
          </w:tcPr>
          <w:p/>
        </w:tc>
        <w:tc>
          <w:tcPr>
            <w:tcW w:type="dxa" w:w="1661"/>
          </w:tcPr>
          <w:p>
            <w:pPr>
              <w:pStyle w:val="null3"/>
            </w:pPr>
            <w:r>
              <w:rPr>
                <w:rFonts w:ascii="仿宋_GB2312" w:hAnsi="仿宋_GB2312" w:cs="仿宋_GB2312" w:eastAsia="仿宋_GB2312"/>
              </w:rPr>
              <w:t>项目拟派人员安排</w:t>
            </w:r>
          </w:p>
        </w:tc>
        <w:tc>
          <w:tcPr>
            <w:tcW w:type="dxa" w:w="2492"/>
          </w:tcPr>
          <w:p>
            <w:pPr>
              <w:pStyle w:val="null3"/>
            </w:pPr>
            <w:r>
              <w:rPr>
                <w:rFonts w:ascii="仿宋_GB2312" w:hAnsi="仿宋_GB2312" w:cs="仿宋_GB2312" w:eastAsia="仿宋_GB2312"/>
              </w:rPr>
              <w:t>（1）① 人员配置较合理，能覆盖 3 条路线施工管理，职责较明确，得 1-3 分；② 组织结构完整，按路线或工序配备专职质量、安全、协调人员，配置合理且职责明确，得 3.1-5 分； （2）供应商承诺保证投入本项目的人员数量和技术能力，安排具备四级公路施工经验的项目经理及相关技术人员，施工过程中不得随意更换人员，并提供承诺函得 1 分； 此项未提供不得分。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项目拟派人员安排.docx</w:t>
            </w:r>
          </w:p>
        </w:tc>
      </w:tr>
      <w:tr>
        <w:tc>
          <w:tcPr>
            <w:tcW w:type="dxa" w:w="831"/>
            <w:vMerge/>
          </w:tcPr>
          <w:p/>
        </w:tc>
        <w:tc>
          <w:tcPr>
            <w:tcW w:type="dxa" w:w="1661"/>
          </w:tcPr>
          <w:p>
            <w:pPr>
              <w:pStyle w:val="null3"/>
            </w:pPr>
            <w:r>
              <w:rPr>
                <w:rFonts w:ascii="仿宋_GB2312" w:hAnsi="仿宋_GB2312" w:cs="仿宋_GB2312" w:eastAsia="仿宋_GB2312"/>
              </w:rPr>
              <w:t>保修服务承诺</w:t>
            </w:r>
          </w:p>
        </w:tc>
        <w:tc>
          <w:tcPr>
            <w:tcW w:type="dxa" w:w="2492"/>
          </w:tcPr>
          <w:p>
            <w:pPr>
              <w:pStyle w:val="null3"/>
            </w:pPr>
            <w:r>
              <w:rPr>
                <w:rFonts w:ascii="仿宋_GB2312" w:hAnsi="仿宋_GB2312" w:cs="仿宋_GB2312" w:eastAsia="仿宋_GB2312"/>
              </w:rPr>
              <w:t>针对水泥混凝土路面、水泥稳定砂砾基层的使用特性及项目分路线特点： ① 提供质量保修承诺，明确基本保修范围及期限，承诺内容一般，得 0-3 分； ② 质量保修承诺合理，针对性明确各路线不同路段的保修重点（如临近民房路段的路面平整性、水库周边路段的路基稳定性），保修响应机制及处置流程清晰，得 3.1-6 分； 此项未提供不得分。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保修服务承诺.docx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经资格审查、符合性审查合格的磋商文件，其投标报价为有效投标报价： 1. 上限为采购预算价，报价大于上限价视为无效标； 2. 以满足本次磋商文件要求的最低报价为评审基准价，其价格为满分； 3. 不享有政策优惠条件的投标供应商报价得分 =（评审基准价 / 报价）×30； 4. 本项目为专门面向中小企业项目，不再执行价格评审优惠的扶持政策； 5. 为保证项目质量，供应商报价若低于招标采购预算的 80%，须对报价合理性及成本构成做书面说明（含 3 条路线分部分项工程成本分析），如未能提供有效证明，将被视为低于成本报价而报价无效（投标报价评审只评投标总价）。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详见附件：磋商保证金缴纳凭证</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详见附件：安全生产管理体系及保证措施</w:t>
      </w:r>
    </w:p>
    <w:p>
      <w:pPr>
        <w:pStyle w:val="null3"/>
        <w:ind w:firstLine="960"/>
      </w:pPr>
      <w:r>
        <w:rPr>
          <w:rFonts w:ascii="仿宋_GB2312" w:hAnsi="仿宋_GB2312" w:cs="仿宋_GB2312" w:eastAsia="仿宋_GB2312"/>
        </w:rPr>
        <w:t>详见附件：保修服务承诺.docx</w:t>
      </w:r>
    </w:p>
    <w:p>
      <w:pPr>
        <w:pStyle w:val="null3"/>
        <w:ind w:firstLine="960"/>
      </w:pPr>
      <w:r>
        <w:rPr>
          <w:rFonts w:ascii="仿宋_GB2312" w:hAnsi="仿宋_GB2312" w:cs="仿宋_GB2312" w:eastAsia="仿宋_GB2312"/>
        </w:rPr>
        <w:t>详见附件：工期保证体系及保证措施</w:t>
      </w:r>
    </w:p>
    <w:p>
      <w:pPr>
        <w:pStyle w:val="null3"/>
        <w:ind w:firstLine="960"/>
      </w:pPr>
      <w:r>
        <w:rPr>
          <w:rFonts w:ascii="仿宋_GB2312" w:hAnsi="仿宋_GB2312" w:cs="仿宋_GB2312" w:eastAsia="仿宋_GB2312"/>
        </w:rPr>
        <w:t>详见附件：近年类似业绩情况表</w:t>
      </w:r>
    </w:p>
    <w:p>
      <w:pPr>
        <w:pStyle w:val="null3"/>
        <w:ind w:firstLine="960"/>
      </w:pPr>
      <w:r>
        <w:rPr>
          <w:rFonts w:ascii="仿宋_GB2312" w:hAnsi="仿宋_GB2312" w:cs="仿宋_GB2312" w:eastAsia="仿宋_GB2312"/>
        </w:rPr>
        <w:t>详见附件：施工环保措施及治污减霾保证措施</w:t>
      </w:r>
    </w:p>
    <w:p>
      <w:pPr>
        <w:pStyle w:val="null3"/>
        <w:ind w:firstLine="960"/>
      </w:pPr>
      <w:r>
        <w:rPr>
          <w:rFonts w:ascii="仿宋_GB2312" w:hAnsi="仿宋_GB2312" w:cs="仿宋_GB2312" w:eastAsia="仿宋_GB2312"/>
        </w:rPr>
        <w:t>详见附件：施工质量保证措施.docx</w:t>
      </w:r>
    </w:p>
    <w:p>
      <w:pPr>
        <w:pStyle w:val="null3"/>
        <w:ind w:firstLine="960"/>
      </w:pPr>
      <w:r>
        <w:rPr>
          <w:rFonts w:ascii="仿宋_GB2312" w:hAnsi="仿宋_GB2312" w:cs="仿宋_GB2312" w:eastAsia="仿宋_GB2312"/>
        </w:rPr>
        <w:t>详见附件：文明施工措施.docx</w:t>
      </w:r>
    </w:p>
    <w:p>
      <w:pPr>
        <w:pStyle w:val="null3"/>
        <w:ind w:firstLine="960"/>
      </w:pPr>
      <w:r>
        <w:rPr>
          <w:rFonts w:ascii="仿宋_GB2312" w:hAnsi="仿宋_GB2312" w:cs="仿宋_GB2312" w:eastAsia="仿宋_GB2312"/>
        </w:rPr>
        <w:t>详见附件：项目的材料及机具配备保证措施.docx</w:t>
      </w:r>
    </w:p>
    <w:p>
      <w:pPr>
        <w:pStyle w:val="null3"/>
        <w:ind w:firstLine="960"/>
      </w:pPr>
      <w:r>
        <w:rPr>
          <w:rFonts w:ascii="仿宋_GB2312" w:hAnsi="仿宋_GB2312" w:cs="仿宋_GB2312" w:eastAsia="仿宋_GB2312"/>
        </w:rPr>
        <w:t>详见附件：项目拟派人员安排.docx</w:t>
      </w:r>
    </w:p>
    <w:p>
      <w:pPr>
        <w:pStyle w:val="null3"/>
        <w:ind w:firstLine="960"/>
      </w:pPr>
      <w:r>
        <w:rPr>
          <w:rFonts w:ascii="仿宋_GB2312" w:hAnsi="仿宋_GB2312" w:cs="仿宋_GB2312" w:eastAsia="仿宋_GB2312"/>
        </w:rPr>
        <w:t>详见附件：针对突发事件应急保证措施.docx</w:t>
      </w:r>
    </w:p>
    <w:p>
      <w:pPr>
        <w:pStyle w:val="null3"/>
        <w:ind w:firstLine="960"/>
      </w:pPr>
      <w:r>
        <w:rPr>
          <w:rFonts w:ascii="仿宋_GB2312" w:hAnsi="仿宋_GB2312" w:cs="仿宋_GB2312" w:eastAsia="仿宋_GB2312"/>
        </w:rPr>
        <w:t>详见附件：总体施工方案.docx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