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30ACA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工期保证体系及保证措施</w:t>
      </w:r>
    </w:p>
    <w:p w14:paraId="2C443ECB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  <w:t>工期保证体系及保证措施</w:t>
      </w:r>
    </w:p>
    <w:p w14:paraId="63FD02E9">
      <w:pPr>
        <w:jc w:val="center"/>
        <w:rPr>
          <w:rFonts w:hint="eastAsia" w:ascii="宋体" w:hAnsi="宋体" w:eastAsia="宋体" w:cs="宋体"/>
          <w:color w:val="0C0C0C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C09B3"/>
    <w:rsid w:val="421C09B3"/>
    <w:rsid w:val="5D516C96"/>
    <w:rsid w:val="664D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2025-07-30T12:28:00Z</dcterms:created>
  <dc:creator>荏苒</dc:creator>
  <cp:lastModifiedBy>荏苒</cp:lastModifiedBy>
  <dcterms:modified xsi:type="dcterms:W3CDTF">2025-08-24T09:44:37Z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1092DAE4029448AE8ED58EAAA999020E_11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