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版本号：SXWB-ZFCG-NZ-[2025]05320251011002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2025年南郑区阳春镇安坎村农村人居环境整治项目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SXWB-ZFCG-NZ-[2025]053</w:t>
      </w:r>
      <w:r>
        <w:br/>
      </w:r>
      <w:r>
        <w:br/>
      </w:r>
      <w:r>
        <w:br/>
      </w:r>
    </w:p>
    <w:p>
      <w:pPr>
        <w:pStyle w:val="null3"/>
        <w:jc w:val="center"/>
        <w:outlineLvl w:val="2"/>
      </w:pPr>
      <w:r>
        <w:rPr>
          <w:rFonts w:ascii="仿宋_GB2312" w:hAnsi="仿宋_GB2312" w:cs="仿宋_GB2312" w:eastAsia="仿宋_GB2312"/>
          <w:sz w:val="28"/>
          <w:b/>
        </w:rPr>
        <w:t>汉中市南郑区阳春镇人民政府</w:t>
      </w:r>
    </w:p>
    <w:p>
      <w:pPr>
        <w:pStyle w:val="null3"/>
        <w:jc w:val="center"/>
        <w:outlineLvl w:val="2"/>
      </w:pPr>
      <w:r>
        <w:rPr>
          <w:rFonts w:ascii="仿宋_GB2312" w:hAnsi="仿宋_GB2312" w:cs="仿宋_GB2312" w:eastAsia="仿宋_GB2312"/>
          <w:sz w:val="28"/>
          <w:b/>
        </w:rPr>
        <w:t>陕西万标项目管理有限公司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陕西万标项目管理有限公司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汉中市南郑区阳春镇人民政府</w:t>
      </w:r>
      <w:r>
        <w:rPr>
          <w:rFonts w:ascii="仿宋_GB2312" w:hAnsi="仿宋_GB2312" w:cs="仿宋_GB2312" w:eastAsia="仿宋_GB2312"/>
        </w:rPr>
        <w:t>委托，拟对</w:t>
      </w:r>
      <w:r>
        <w:rPr>
          <w:rFonts w:ascii="仿宋_GB2312" w:hAnsi="仿宋_GB2312" w:cs="仿宋_GB2312" w:eastAsia="仿宋_GB2312"/>
        </w:rPr>
        <w:t>2025年南郑区阳春镇安坎村农村人居环境整治项目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SXWB-ZFCG-NZ-[2025]053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2025年南郑区阳春镇安坎村农村人居环境整治项目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该项目建设地点位于陕西省汉中市南郑区阳春镇安坎村，主要建设内容：1.新建混凝土及沥青混凝土道路；2.沿线道路环境卫生整治2公里；3.沟渠清淤；4.清理残垣断壁15处等。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采购包1（2025年南郑区阳春镇安坎村农村人居环境整治项目）：属于专门面向中小企业采购。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供应商资质及拟派项目负责人资格：供应商须具有建设行政主管部门颁发的市政公用工程施工总承包三级及以上资质，具有有效的安全生产许可证；拟派项目经理须具有市政公用工程专业注册建造师二级及以上资格和安全生产考核合格B证，且无在建项目；</w:t>
      </w:r>
    </w:p>
    <w:p>
      <w:pPr>
        <w:pStyle w:val="null3"/>
      </w:pPr>
      <w:r>
        <w:rPr>
          <w:rFonts w:ascii="仿宋_GB2312" w:hAnsi="仿宋_GB2312" w:cs="仿宋_GB2312" w:eastAsia="仿宋_GB2312"/>
        </w:rPr>
        <w:t>4、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汉中市南郑区阳春镇人民政府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汉中市南郑县阳春镇安坎村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汉中市南郑区阳春镇人民政府经办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13669160613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汉中市汉台区西环路中段鑫辉西部建材城二单元七楼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0916-8820039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开户名称：陕西万标项目管理有限公司</w:t>
            </w:r>
          </w:p>
          <w:p>
            <w:pPr>
              <w:pStyle w:val="null3"/>
            </w:pPr>
            <w:r>
              <w:rPr>
                <w:rFonts w:ascii="仿宋_GB2312" w:hAnsi="仿宋_GB2312" w:cs="仿宋_GB2312" w:eastAsia="仿宋_GB2312"/>
              </w:rPr>
              <w:t>开户银行：中国建设银行股份有限公司汉中北一环路支行</w:t>
            </w:r>
          </w:p>
          <w:p>
            <w:pPr>
              <w:pStyle w:val="null3"/>
            </w:pPr>
            <w:r>
              <w:rPr>
                <w:rFonts w:ascii="仿宋_GB2312" w:hAnsi="仿宋_GB2312" w:cs="仿宋_GB2312" w:eastAsia="仿宋_GB2312"/>
              </w:rPr>
              <w:t>银行账号：6105 0165 3800 0000 0437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标代理服务收费管理暂行办法的通知》(计价格【2002】1980号)和国家发改委办公厅国发的《关于招标代理服务收费有关问题的通知》(发改办价格【2003】857号)文件规定的收费标准收取。由中标单位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汉中市南郑区阳春镇人民政府</w:t>
      </w:r>
      <w:r>
        <w:rPr>
          <w:rFonts w:ascii="仿宋_GB2312" w:hAnsi="仿宋_GB2312" w:cs="仿宋_GB2312" w:eastAsia="仿宋_GB2312"/>
        </w:rPr>
        <w:t>和</w:t>
      </w:r>
      <w:r>
        <w:rPr>
          <w:rFonts w:ascii="仿宋_GB2312" w:hAnsi="仿宋_GB2312" w:cs="仿宋_GB2312" w:eastAsia="仿宋_GB2312"/>
        </w:rPr>
        <w:t>陕西万标项目管理有限公司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汉中市南郑区阳春镇人民政府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汉中市南郑区阳春镇人民政府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联系电话：0916-8820039</w:t>
      </w:r>
    </w:p>
    <w:p>
      <w:pPr>
        <w:pStyle w:val="null3"/>
      </w:pPr>
      <w:r>
        <w:rPr>
          <w:rFonts w:ascii="仿宋_GB2312" w:hAnsi="仿宋_GB2312" w:cs="仿宋_GB2312" w:eastAsia="仿宋_GB2312"/>
        </w:rPr>
        <w:t>地址：汉中市汉台区西环路中段鑫辉西部建材城二单元七楼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1,162,120.66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2025年南郑区阳春镇安坎村农村人居环境整治项目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标的名称：2025年南郑区阳春镇安坎村农村人居环境整治项目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1"/>
                <w:shd w:fill="FFFFFF" w:val="clear"/>
              </w:rPr>
              <w:t>一、工程概况：</w:t>
            </w:r>
          </w:p>
          <w:p>
            <w:pPr>
              <w:pStyle w:val="null3"/>
              <w:spacing w:before="105" w:after="105"/>
              <w:ind w:firstLine="538"/>
              <w:jc w:val="both"/>
            </w:pPr>
            <w:r>
              <w:rPr>
                <w:rFonts w:ascii="仿宋_GB2312" w:hAnsi="仿宋_GB2312" w:cs="仿宋_GB2312" w:eastAsia="仿宋_GB2312"/>
                <w:sz w:val="21"/>
                <w:shd w:fill="FFFFFF" w:val="clear"/>
              </w:rPr>
              <w:t>该项目建设地点位于陕西省汉中市南郑区阳春镇安坎村，主要建设内容：</w:t>
            </w:r>
            <w:r>
              <w:rPr>
                <w:rFonts w:ascii="仿宋_GB2312" w:hAnsi="仿宋_GB2312" w:cs="仿宋_GB2312" w:eastAsia="仿宋_GB2312"/>
                <w:sz w:val="21"/>
                <w:shd w:fill="FFFFFF" w:val="clear"/>
              </w:rPr>
              <w:t>1.新建混凝土及沥青混凝土道路；2.沿线道路环境卫生整治2公里；3.沟渠清淤；4.清理残垣断壁15处等。</w:t>
            </w:r>
          </w:p>
          <w:p>
            <w:pPr>
              <w:pStyle w:val="null3"/>
              <w:spacing w:before="105" w:after="105"/>
              <w:jc w:val="both"/>
            </w:pPr>
            <w:r>
              <w:rPr>
                <w:rFonts w:ascii="仿宋_GB2312" w:hAnsi="仿宋_GB2312" w:cs="仿宋_GB2312" w:eastAsia="仿宋_GB2312"/>
                <w:sz w:val="21"/>
                <w:shd w:fill="FFFFFF" w:val="clear"/>
              </w:rPr>
              <w:t>二、编制依据：</w:t>
            </w:r>
          </w:p>
          <w:p>
            <w:pPr>
              <w:pStyle w:val="null3"/>
              <w:spacing w:before="105" w:after="105"/>
              <w:ind w:firstLine="538"/>
              <w:jc w:val="both"/>
            </w:pPr>
            <w:r>
              <w:rPr>
                <w:rFonts w:ascii="仿宋_GB2312" w:hAnsi="仿宋_GB2312" w:cs="仿宋_GB2312" w:eastAsia="仿宋_GB2312"/>
                <w:sz w:val="21"/>
                <w:shd w:fill="FFFFFF" w:val="clear"/>
              </w:rPr>
              <w:t>1.施工图纸。</w:t>
            </w:r>
          </w:p>
          <w:p>
            <w:pPr>
              <w:pStyle w:val="null3"/>
              <w:spacing w:before="105" w:after="105"/>
              <w:ind w:firstLine="560"/>
              <w:jc w:val="both"/>
            </w:pPr>
            <w:r>
              <w:rPr>
                <w:rFonts w:ascii="仿宋_GB2312" w:hAnsi="仿宋_GB2312" w:cs="仿宋_GB2312" w:eastAsia="仿宋_GB2312"/>
                <w:sz w:val="21"/>
                <w:shd w:fill="FFFFFF" w:val="clear"/>
              </w:rPr>
              <w:t>2.按《陕西省建筑工程量清单计价规则（2025）版》、《陕西省建筑安装工程消耗量定额（2025）版》、《陕西省建筑装饰市政园林绿化工程价目表（2025）版》、《陕西省建筑工程、安装工程、装饰工程、市政工程、园林绿化工程参考费率（2025）版》及配套的相关文件计价。</w:t>
            </w:r>
          </w:p>
          <w:p>
            <w:pPr>
              <w:pStyle w:val="null3"/>
              <w:spacing w:before="105" w:after="105"/>
              <w:ind w:firstLine="560"/>
              <w:jc w:val="both"/>
            </w:pPr>
            <w:r>
              <w:rPr>
                <w:rFonts w:ascii="仿宋_GB2312" w:hAnsi="仿宋_GB2312" w:cs="仿宋_GB2312" w:eastAsia="仿宋_GB2312"/>
                <w:sz w:val="21"/>
                <w:shd w:fill="FFFFFF" w:val="clear"/>
              </w:rPr>
              <w:t>3.材料单价按照汉中市建设工程造价管理办公室下发的《汉中建设工程造价信息2025.07》计算。</w:t>
            </w:r>
          </w:p>
          <w:p>
            <w:pPr>
              <w:pStyle w:val="null3"/>
              <w:spacing w:before="105" w:after="105"/>
              <w:ind w:firstLine="560"/>
              <w:jc w:val="both"/>
            </w:pPr>
            <w:r>
              <w:rPr>
                <w:rFonts w:ascii="仿宋_GB2312" w:hAnsi="仿宋_GB2312" w:cs="仿宋_GB2312" w:eastAsia="仿宋_GB2312"/>
                <w:sz w:val="21"/>
                <w:shd w:fill="FFFFFF" w:val="clear"/>
              </w:rPr>
              <w:t>4.《陕西省住房和城乡建设关于印发2025陕西省建设工程费用规则等计价依据的通知》（陕建发【2025】10号）文件计算。</w:t>
            </w:r>
          </w:p>
          <w:p>
            <w:pPr>
              <w:pStyle w:val="null3"/>
              <w:spacing w:before="105" w:after="105"/>
              <w:jc w:val="both"/>
            </w:pPr>
            <w:r>
              <w:rPr>
                <w:rFonts w:ascii="仿宋_GB2312" w:hAnsi="仿宋_GB2312" w:cs="仿宋_GB2312" w:eastAsia="仿宋_GB2312"/>
                <w:sz w:val="21"/>
                <w:shd w:fill="FFFFFF" w:val="clear"/>
              </w:rPr>
              <w:t>三、其他说明：</w:t>
            </w:r>
          </w:p>
          <w:p>
            <w:pPr>
              <w:pStyle w:val="null3"/>
              <w:spacing w:before="105" w:after="105"/>
              <w:ind w:firstLine="560"/>
              <w:jc w:val="both"/>
            </w:pPr>
            <w:r>
              <w:rPr>
                <w:rFonts w:ascii="仿宋_GB2312" w:hAnsi="仿宋_GB2312" w:cs="仿宋_GB2312" w:eastAsia="仿宋_GB2312"/>
                <w:sz w:val="21"/>
                <w:shd w:fill="FFFFFF" w:val="clear"/>
              </w:rPr>
              <w:t>本项目暂列金按分部分项工程费的</w:t>
            </w:r>
            <w:r>
              <w:rPr>
                <w:rFonts w:ascii="仿宋_GB2312" w:hAnsi="仿宋_GB2312" w:cs="仿宋_GB2312" w:eastAsia="仿宋_GB2312"/>
                <w:sz w:val="21"/>
                <w:shd w:fill="FFFFFF" w:val="clear"/>
              </w:rPr>
              <w:t>10%计取。</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工程质量达到建筑工程施工质量验收规范合格标准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1.工期：45日历天； 2.项目建设地点：汉中市南郑区阳春镇安坎村； 3.质保期：1年； 4.投标报价要求： （1）供应商应充分考虑采购文件的各项条款、项目现场实际情况、供应商所掌握的市场情况及现行有关政策法规的要求，根据企业自身情况及上述要求自主做出填报投标总价及全费用单价报价； （2）供应商投标报价中的价格均包括完成该工程的人工费、材料费、机械使用费企业管理费、利润、分部分项工程费、措施费、其他项目费、规费、税金以及合同中明示或暗示的所有风险、责任和义务等全部费用。 （3）投标报价时各供应商应根据文件说明、做法、施工组织设计、施工验收规范现场条件、工程特点等内容编制投标报价。</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供应商需在项目电子化交易系统中按要求提供《汉中市政府采购供应商资格承诺函》完成承诺并进行电子签章。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供应商资质及拟派项目负责人资格</w:t>
            </w:r>
          </w:p>
        </w:tc>
        <w:tc>
          <w:tcPr>
            <w:tcW w:type="dxa" w:w="3322"/>
          </w:tcPr>
          <w:p>
            <w:pPr>
              <w:pStyle w:val="null3"/>
            </w:pPr>
            <w:r>
              <w:rPr>
                <w:rFonts w:ascii="仿宋_GB2312" w:hAnsi="仿宋_GB2312" w:cs="仿宋_GB2312" w:eastAsia="仿宋_GB2312"/>
              </w:rPr>
              <w:t>供应商须具有建设行政主管部门颁发的市政公用工程施工总承包三级及以上资质，具有有效的安全生产许可证；拟派项目经理须具有市政公用工程专业注册建造师二级及以上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提交的响应文件有下列情况之一，其响应文件无效，评标委员会应写明无效理由。(1)响应文件中未按照磋商文件规定要求签署、盖章的；(2)投标有效期不足的或无有效期的；(3)投标报价超过磋商文件中规定的采购预算或最高限价或标的金额的；(4)不满足磋商文件中实质性条款要求的；(5)响应文件含有采购人不能接受的附加条件的或其他情形；（6）法律、规章、规范性文件和磋商文件规定的其他无效情形</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提供针对本项目的实施方案，充分了解项目需求，就其方案是否合理科学及措施得当，是否针对本项目实施提出重点、难点并给出相应的解决方案，进度安排、责任分工明确，方案可行、全面得7.1-10分；方案基本合理可行，但内容不全得3.1-7分；方案欠缺、不利于实施得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根据供应商的工作质量的控制、保证体系及保证措施的完善性和合理性进行评价。方案科学合理、可行、全面计7.1-10分；方案基本合理可行计3.1-7分，方案欠缺、不利于实施计0.1-3分，未提供不计分。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根据供应商的施工安全保证体系及保证措施的完善性和合理性进行评价。方案科学合理、可行、全面计7.1-10分；方案基本合理可行计3.1-7分，方案欠缺、不利于实施计0.1-3分，未提供不计分。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项目总体进度计划安排具有合理性、先进性、可靠性和安全性。方案科学合理、可行、全面计7.1-10分；方案基本合理可行计3.1-7分，方案欠缺、不利于实施计0.1-3分，未提供不计分。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供应商针对本项目编制的文明施工及环境保护措施的完善性和合理性进行评价。方案科学合理、可行、全面计7.1-10分；方案基本合理可行计3.1-7分，方案欠缺、不利于实施计0.1-3分，未提供不计分。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投标人针对本项目有具体的配置人员专业、数量、职称及具有相关经验，详细的实施人员安排，分工合理、责任明确。方案科学合理、可行、全面计7.1-10分；方案基本合理可行计3.1-7分，方案欠缺、不利于实施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提供2022年至今类似项目业绩，响应文件中附有其业绩证明材料（中标通知书或合同复印件加盖公章）每提供一个计2.5分，满分5分。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质量保修承诺完整、合理及后续服务条款具体、可行，得2.1-5分；质量保修承诺含糊及后续服务条款基本可行，得0.1-2分，未提供不计分。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价格分统一采用低价优先法计算，即满足采购文件要求且投标价格最低的投标报价为评标基准价，其价格分为满分。其他投标人的价格分统一按照下列公式计算： 价格分=(评标基准价／投标报价)×报价分值 注：本项目专门面向中小企业采购，评审时不再进行价格扣除。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