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版本号：ZCBN-南郑县-2025-0037120250930001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川陕红色交通线南郑驿站小南海保护修缮工程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ZCBN-南郑县-2025-00371</w:t>
      </w:r>
      <w:r>
        <w:br/>
      </w:r>
      <w:r>
        <w:br/>
      </w:r>
      <w:r>
        <w:br/>
      </w:r>
    </w:p>
    <w:p>
      <w:pPr>
        <w:pStyle w:val="null3"/>
        <w:jc w:val="center"/>
        <w:outlineLvl w:val="2"/>
      </w:pPr>
      <w:r>
        <w:rPr>
          <w:rFonts w:ascii="仿宋_GB2312" w:hAnsi="仿宋_GB2312" w:cs="仿宋_GB2312" w:eastAsia="仿宋_GB2312"/>
          <w:sz w:val="28"/>
          <w:b/>
        </w:rPr>
        <w:t>汉中市南郑区圣水寺文物管理所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汉中市南郑区圣水寺文物管理所</w:t>
      </w:r>
      <w:r>
        <w:rPr>
          <w:rFonts w:ascii="仿宋_GB2312" w:hAnsi="仿宋_GB2312" w:cs="仿宋_GB2312" w:eastAsia="仿宋_GB2312"/>
        </w:rPr>
        <w:t>委托，拟对</w:t>
      </w:r>
      <w:r>
        <w:rPr>
          <w:rFonts w:ascii="仿宋_GB2312" w:hAnsi="仿宋_GB2312" w:cs="仿宋_GB2312" w:eastAsia="仿宋_GB2312"/>
        </w:rPr>
        <w:t>川陕红色交通线南郑驿站小南海保护修缮工程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ZCBN-南郑县-2025-00371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川陕红色交通线南郑驿站小南海保护修缮工程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川陕红色交通线南郑驿站小南海保护修缮工程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采购包1（川陕红色交通线南郑驿站小南海保护修缮工程）：属于专门面向中小企业采购。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3、供应商资质要求：具备文物保护工程施工二级（含二级）以上资质，且具有合格有效的安全生产许可证；</w:t>
      </w:r>
    </w:p>
    <w:p>
      <w:pPr>
        <w:pStyle w:val="null3"/>
      </w:pPr>
      <w:r>
        <w:rPr>
          <w:rFonts w:ascii="仿宋_GB2312" w:hAnsi="仿宋_GB2312" w:cs="仿宋_GB2312" w:eastAsia="仿宋_GB2312"/>
        </w:rPr>
        <w:t>4、拟派项目负责人资质和专业要求：具备建设行政主管部门核发的建筑工程专业二级（含二级）以上注册建造师执业资格，并取得（B类）安全生产考核合格证书，无不良记录，无在建工程(提供无在建承诺书)；</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pPr>
      <w:r>
        <w:rPr>
          <w:rFonts w:ascii="仿宋_GB2312" w:hAnsi="仿宋_GB2312" w:cs="仿宋_GB2312" w:eastAsia="仿宋_GB2312"/>
        </w:rPr>
        <w:t>6、不接受联合体： 本项目不接受联合体，供应商需在项目电子化交易系统中按要求上传相应证明文件并进行电子签章。</w:t>
      </w:r>
    </w:p>
    <w:p>
      <w:pPr>
        <w:pStyle w:val="null3"/>
      </w:pPr>
      <w:r>
        <w:rPr>
          <w:rFonts w:ascii="仿宋_GB2312" w:hAnsi="仿宋_GB2312" w:cs="仿宋_GB2312" w:eastAsia="仿宋_GB2312"/>
        </w:rPr>
        <w:t>7、保证金：供应商按规定缴纳了磋商保证金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汉中市南郑区圣水寺文物管理所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汉中市南郑区圣水镇马家咀村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汉中市南郑区圣水寺文物管理所经办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15829868279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开户名称：中国建设银行股份有限公司汉中天汉大道支行</w:t>
            </w:r>
          </w:p>
          <w:p>
            <w:pPr>
              <w:pStyle w:val="null3"/>
            </w:pPr>
            <w:r>
              <w:rPr>
                <w:rFonts w:ascii="仿宋_GB2312" w:hAnsi="仿宋_GB2312" w:cs="仿宋_GB2312" w:eastAsia="仿宋_GB2312"/>
              </w:rPr>
              <w:t>开户银行：嘉翔项目管理有限公司汉中分公司</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汉中市南郑区圣水寺文物管理所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汉中市南郑区圣水寺文物管理所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汉中市南郑区圣水寺文物管理所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2,251,500.00</w:t>
      </w:r>
    </w:p>
    <w:p>
      <w:pPr>
        <w:pStyle w:val="null3"/>
      </w:pPr>
      <w:r>
        <w:rPr>
          <w:rFonts w:ascii="仿宋_GB2312" w:hAnsi="仿宋_GB2312" w:cs="仿宋_GB2312" w:eastAsia="仿宋_GB2312"/>
        </w:rPr>
        <w:t>采购包最高限价（元）: 2,251,017.53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川陕红色交通线南郑驿站小南海保护修缮工程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2,251,500.00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标的名称：川陕红色交通线南郑驿站小南海保护修缮工程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（一）工程内容：设计图纸及工程量清单所有内容。</w:t>
            </w:r>
          </w:p>
          <w:p>
            <w:pPr>
              <w:pStyle w:val="null3"/>
            </w:pPr>
            <w:r>
              <w:rPr>
                <w:rFonts w:ascii="仿宋_GB2312" w:hAnsi="仿宋_GB2312" w:cs="仿宋_GB2312" w:eastAsia="仿宋_GB2312"/>
              </w:rPr>
              <w:t>（二）工程地点：位于陕西省汉中市南郑区小南海镇。</w:t>
            </w:r>
          </w:p>
          <w:p>
            <w:pPr>
              <w:pStyle w:val="null3"/>
            </w:pPr>
            <w:r>
              <w:rPr>
                <w:rFonts w:ascii="仿宋_GB2312" w:hAnsi="仿宋_GB2312" w:cs="仿宋_GB2312" w:eastAsia="仿宋_GB2312"/>
              </w:rPr>
              <w:t>（三）计划工期：90日历天。</w:t>
            </w:r>
          </w:p>
          <w:p>
            <w:pPr>
              <w:pStyle w:val="null3"/>
            </w:pPr>
            <w:r>
              <w:rPr>
                <w:rFonts w:ascii="仿宋_GB2312" w:hAnsi="仿宋_GB2312" w:cs="仿宋_GB2312" w:eastAsia="仿宋_GB2312"/>
              </w:rPr>
              <w:t>（四）工程质量：质量达到合格标准，并满足国家相关标准、规范及有关技术文件要求。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①项目在竣工后，成交人应向采购人提交工程竣工报告，申请工程竣工验收，并将施工过程中相关资料提交采购人； ②采购人收到工程竣工报告后，对符合竣工验收要求的工程，组织相关单位和其他有关方面的专家组成验收组共同验收，签署的工程竣工验收意见； ③验收合格后，采购人出具《工程竣工验收报告》，并在建设行政主管部门备案； ④验收不合格的成交单位，必须在接到通知后7个日历日内确保工程通过验收。如接到通知后7个日历日内验收仍不合格，采购人可提出索赔或取消其施工合同； 2.验收标准按照国家、行业有关规范和要求执行； 3.成交人承诺完全达到国家有关部门验收标准，并全部通过验收为交付使用的基本条件，验收过程中的一切费用由成交供应商承担； 4.验收依据： ①合同文本及合同补充文件（条款）； ②磋商文件； ③磋商响应文件； ④工程量清单； ⑤建筑工程施工质量验收统一标准，质量达到合格标准，并满足国家相关标准、规范及有关技术文件要求。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川陕红色交通线南郑驿站小南海保护修缮工程工程量清单编制说明 一、工程概况： 川陕红色交通线南郑驿站小南海保护修缮工程，该工程主要工作内容：提升改造藏经阁、指挥部旧址、大雄宝殿、观音殿，拆除及新作屋面，墙面粉刷、室外地面修补、以及其他零星工作内容。 二、编制依据： 1、由陕西科信古建筑设计有限公司设计《川陕红色交通线南郑驿站-小南海保护修缮工程》施工图纸； 2、依据《陕西省建设工程工程量清单计价标准及计算标准2025》； 3、依据《陕西省仿古建筑工程预算定额（2012）》及相关配套文件； 4、依据陕建管发〔2025〕10号《陕西省住房和城乡建设厅关于印发2025陕西省建设工程费用规则等计价依据的通知》文件； 5、汉市建规发〔2016〕23号文件，《汉中市城乡建设规划局关于停止征收副食品调节基金的通知》； 6、陕建发〔2017〕270号文件《关于建设工程扬尘治理专项措施费及综合人工单价调整》； 7、陕建发〔2018〕2019号文件，《关于调整房屋建筑和市政基础设施工程量清单计价综合人工单价的通知》； 8、陕建规发〔2019〕45号文件，《关于调整陕西省建设工程计价依据的通知（营改增）》； 9、陕建发〔2019〕1246号文件，《关于发布我省落实建筑工人实名制管理计价依据的通知》； 10、材料价依据2025年8月汉中建设工程造价信息南郑地区材料价格及市场价。 三、问题说明 1、本项目暂列金130000.00元； 2、本项目专业专业暂估价200000.00元； 3、室外地面拆除做法暂按，工程结算时据实核算； 4、室内外墙面涂料粉刷，材料价暂按15元/kg计入； 5、木质窗综合单价暂按720元/m2； 6、木质门综合单价暂按850元/m2； 7、麦草泥抹面综合单价暂按65元/m2； 8、麦余泥抹面综合单价暂按25元/m2； 9、本项目清单工程量最终按实际工程量据实结算。 四、计价软件：广联达建筑工程计价软件GCCP7.0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2251017.53元，供应商的采购包响应报价高于最高限价的，其响应文件将按无效标处理；2、为顺利推进政府采购电子化交易平台应用工作，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拒绝政府采购领域商业贿赂承诺书.docx 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具备文物保护工程施工二级（含二级）以上资质，且具有合格有效的安全生产许可证；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具备建设行政主管部门核发的建筑工程专业二级（含二级）以上注册建造师执业资格，并取得（B类）安全生产考核合格证书，无不良记录，无在建工程(提供无在建承诺书)；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 xml:space="preserve"> 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非联合体不分包投标声明.docx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供应商按规定缴纳了磋商保证金</w:t>
            </w:r>
          </w:p>
        </w:tc>
        <w:tc>
          <w:tcPr>
            <w:tcW w:type="dxa" w:w="1661"/>
          </w:tcPr>
          <w:p>
            <w:pPr>
              <w:pStyle w:val="null3"/>
            </w:pPr>
            <w:r>
              <w:rPr>
                <w:rFonts w:ascii="仿宋_GB2312" w:hAnsi="仿宋_GB2312" w:cs="仿宋_GB2312" w:eastAsia="仿宋_GB2312"/>
              </w:rPr>
              <w:t>磋商保证金.docx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技术方案.docx 已标价工程量清单 磋商保证金.docx 中小企业声明函 服务承诺.docx 供应商应提交的相关资格证明材料 非联合体不分包投标声明.docx 供应商认为需要说明的其他内容.docx 汉中市政府采购供应商资格承诺函.docx 强制优先采购产品承诺函 法定代表人授权书.docx 响应文件封面 项目管理机构组成表 残疾人福利性单位声明函 拒绝政府采购领域商业贿赂承诺书.docx 报价函 标的清单 供应商类似项目业绩一览表 响应函 主要人员简历表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技术方案.docx 已标价工程量清单 磋商保证金.docx 中小企业声明函 服务承诺.docx 供应商应提交的相关资格证明材料 非联合体不分包投标声明.docx 供应商认为需要说明的其他内容.docx 汉中市政府采购供应商资格承诺函.docx 强制优先采购产品承诺函 法定代表人授权书.docx 响应文件封面 项目管理机构组成表 残疾人福利性单位声明函 拒绝政府采购领域商业贿赂承诺书.docx 报价函 标的清单 供应商类似项目业绩一览表 响应函 主要人员简历表 监狱企业的证明文件 技术、服务、商务及其他要求响应偏离表.docx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供应商2021年01月至今类似项目业绩，每份计2分，计满4分为止。须提供中标（成交）通知书和合同（协议书）等证明资料。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供应商针对本项目编制完善的总体施工方案，内容包含但不限于： ①具体施工内容； ②施工次序； ③施工方法（工艺）； ④成品保护措施。 2.评审标准： ①内容全面详细，且条理清晰、准确、措施合理具体； ②内容能够紧扣项目实际情况，内容清晰、合理。 3.赋分标准（满分10分）： ①内容完整且完全满足上述评审标准的，计10分； ②内容完整，但条理不清晰、措施不具体且无紧扣项目实际情况的实质性内容，计6分； ③内容缺1-2项的，计3分； ④内容缺3项的计1分；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 ②施工质量的检验制度； ③确保质量的技术组织措施； ④材料储存方案。 2.评审标准： ①内容全面详细，且条理清晰、准确、措施合理具体； ②内容能够紧扣项目实际情况，内容清晰、合理。 3.赋分标准（满分8分）： ①内容完整且完全满足上述评审标准的，计8分； ②内容完整，但条理不清晰、措施不具体、无紧扣项目实际情况实质性内容的，计4分； ③内容缺2项及以下的，计1分； ④内容缺3项及以上的不计分。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②文明施工保障措施； ③环境保护管理体系； ④环保控制措施：污染物及废弃物处理的排放、噪音控制、防尘及扬尘的控制措施。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供应商针对本项目编制完善的安全生产的技术组织措施，内容包含但不限于： ①安全管理体系； ②安全责任归属划分； ③安全标识：安全警戒标语、施工人员安全警示服和安全帽穿配要求； ④安全教育培训。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供应商针对本项目编制完善的工期的技术组织措施，内容包含但不限于： ①施工组织与工期保证措施； ②特殊情况保证：夜间、雨雪、高温、低温等情况。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 ②主要材料进场计划。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 ②施工进度保障措施。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供应商针对本项目编制完善的劳动力安排计划及劳务分包情况，内容包含但不限于： ①劳动力投入计划； ②劳务分包情况； ③劳动力保障措施。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 供应商针对本项目编制完善的项目经理部组织机构，内容包含但不限于： ①项目成员配置清单及架构； ②项目组配备人员的专业素质、人员结构； ③项目成员的主要职责及工作内容。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技术、服务、商务及其他要求响应偏离表.docx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①对招标文件和合同条款的响应承诺； ②针对本项目实际需求提供实质性服务承诺及保障措施； ③针对本项目的施工验收后期的质保承诺。 2.评审标准： ①内容全面详细，且条理清晰、准确、措施合理具体； ②内容能够紧扣项目实际情况，内容清晰、合理。 3.赋分标准（满分6分）： ①内容完整且完全满足上述评审标准的，计6分； ②内容完整，但条理不清晰、措施不具体、无紧扣项目实际情况实质性内容的，计3分；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详见附件：技术、服务、商务及其他要求响应偏离表.docx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