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拟签订采购合同文本</w:t>
      </w:r>
    </w:p>
    <w:p w14:paraId="47D9B8FB">
      <w:pPr>
        <w:pStyle w:val="7"/>
        <w:numPr>
          <w:ilvl w:val="0"/>
          <w:numId w:val="0"/>
        </w:numPr>
        <w:ind w:right="1470" w:rightChars="700"/>
        <w:rPr>
          <w:rFonts w:hint="eastAsia" w:asciiTheme="minorEastAsia" w:hAnsiTheme="minorEastAsia" w:eastAsiaTheme="minorEastAsia" w:cstheme="minorEastAsia"/>
          <w:highlight w:val="none"/>
        </w:rPr>
      </w:pPr>
    </w:p>
    <w:p w14:paraId="07109971">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jc w:val="left"/>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注：本合同作为合同的基本格式，甲方有权在签订合同时对合同的相关条款及内容作进一步细化和修改）</w:t>
      </w:r>
    </w:p>
    <w:p w14:paraId="3BD535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合同编号： </w:t>
      </w:r>
    </w:p>
    <w:p w14:paraId="2C0A1804">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签订地点： </w:t>
      </w:r>
    </w:p>
    <w:p w14:paraId="302AC869">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签订时间:</w:t>
      </w:r>
    </w:p>
    <w:p w14:paraId="31F909A7">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采购人（甲方）：</w:t>
      </w:r>
    </w:p>
    <w:p w14:paraId="5287C09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中标人（乙方）：</w:t>
      </w:r>
    </w:p>
    <w:p w14:paraId="3BFB2C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根据《中华人民共和国政府采购法》及实施条例、《中华人民共和国民法典》和</w:t>
      </w:r>
      <w:r>
        <w:rPr>
          <w:rFonts w:hint="eastAsia" w:ascii="仿宋" w:hAnsi="仿宋" w:eastAsia="仿宋" w:cs="仿宋"/>
          <w:color w:val="000000" w:themeColor="text1"/>
          <w:sz w:val="21"/>
          <w:szCs w:val="21"/>
          <w:highlight w:val="none"/>
          <w:lang w:val="en-US" w:eastAsia="zh-CN"/>
          <w14:textFill>
            <w14:solidFill>
              <w14:schemeClr w14:val="tx1"/>
            </w14:solidFill>
          </w14:textFill>
        </w:rPr>
        <w:t>招标文件</w:t>
      </w:r>
      <w:r>
        <w:rPr>
          <w:rFonts w:hint="eastAsia" w:ascii="仿宋" w:hAnsi="仿宋" w:eastAsia="仿宋" w:cs="仿宋"/>
          <w:color w:val="000000" w:themeColor="text1"/>
          <w:sz w:val="21"/>
          <w:szCs w:val="21"/>
          <w:highlight w:val="none"/>
          <w14:textFill>
            <w14:solidFill>
              <w14:schemeClr w14:val="tx1"/>
            </w14:solidFill>
          </w14:textFill>
        </w:rPr>
        <w:t>文件、投标文件等有关规定，为确保甲方采购项目的顺利实施，甲、乙双方在平等自愿原则下签订本合同，并共同遵守如下条款：</w:t>
      </w:r>
    </w:p>
    <w:p w14:paraId="0713808F">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0" w:name="_Toc16582"/>
      <w:r>
        <w:rPr>
          <w:rFonts w:hint="eastAsia" w:ascii="仿宋" w:hAnsi="仿宋" w:eastAsia="仿宋" w:cs="仿宋"/>
          <w:b/>
          <w:color w:val="000000" w:themeColor="text1"/>
          <w:sz w:val="24"/>
          <w:szCs w:val="24"/>
          <w:highlight w:val="none"/>
          <w14:textFill>
            <w14:solidFill>
              <w14:schemeClr w14:val="tx1"/>
            </w14:solidFill>
          </w14:textFill>
        </w:rPr>
        <w:t>第一条 合同标的及数量</w:t>
      </w:r>
      <w:bookmarkEnd w:id="0"/>
    </w:p>
    <w:p w14:paraId="3C4BDD78">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乙方向甲方提供下列货物（产品）：</w:t>
      </w:r>
    </w:p>
    <w:p w14:paraId="3081B8C7">
      <w:pPr>
        <w:pStyle w:val="3"/>
        <w:shd w:val="clear"/>
        <w:spacing w:line="360" w:lineRule="auto"/>
        <w:ind w:firstLine="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报价一览表</w:t>
      </w:r>
    </w:p>
    <w:tbl>
      <w:tblPr>
        <w:tblStyle w:val="11"/>
        <w:tblpPr w:leftFromText="180" w:rightFromText="180" w:vertAnchor="text" w:horzAnchor="margin" w:tblpX="-986" w:tblpY="309"/>
        <w:tblW w:w="9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684"/>
        <w:gridCol w:w="693"/>
        <w:gridCol w:w="831"/>
        <w:gridCol w:w="970"/>
        <w:gridCol w:w="1212"/>
        <w:gridCol w:w="1212"/>
        <w:gridCol w:w="1344"/>
        <w:gridCol w:w="1416"/>
      </w:tblGrid>
      <w:tr w14:paraId="46B3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9" w:type="dxa"/>
            <w:vAlign w:val="center"/>
          </w:tcPr>
          <w:p w14:paraId="6EA992C2">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1" w:name="_Toc26243"/>
            <w:r>
              <w:rPr>
                <w:rFonts w:hint="eastAsia" w:ascii="仿宋" w:hAnsi="仿宋" w:eastAsia="仿宋" w:cs="仿宋"/>
                <w:color w:val="000000" w:themeColor="text1"/>
                <w:sz w:val="21"/>
                <w:szCs w:val="21"/>
                <w:highlight w:val="none"/>
                <w14:textFill>
                  <w14:solidFill>
                    <w14:schemeClr w14:val="tx1"/>
                  </w14:solidFill>
                </w14:textFill>
              </w:rPr>
              <w:t>序号</w:t>
            </w:r>
            <w:bookmarkEnd w:id="1"/>
          </w:p>
        </w:tc>
        <w:tc>
          <w:tcPr>
            <w:tcW w:w="684" w:type="dxa"/>
            <w:vAlign w:val="center"/>
          </w:tcPr>
          <w:p w14:paraId="642BD0F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2" w:name="_Toc6556"/>
            <w:r>
              <w:rPr>
                <w:rFonts w:hint="eastAsia" w:ascii="仿宋" w:hAnsi="仿宋" w:eastAsia="仿宋" w:cs="仿宋"/>
                <w:color w:val="000000" w:themeColor="text1"/>
                <w:sz w:val="21"/>
                <w:szCs w:val="21"/>
                <w:highlight w:val="none"/>
                <w14:textFill>
                  <w14:solidFill>
                    <w14:schemeClr w14:val="tx1"/>
                  </w14:solidFill>
                </w14:textFill>
              </w:rPr>
              <w:t>名称</w:t>
            </w:r>
            <w:bookmarkEnd w:id="2"/>
          </w:p>
        </w:tc>
        <w:tc>
          <w:tcPr>
            <w:tcW w:w="693" w:type="dxa"/>
            <w:vAlign w:val="center"/>
          </w:tcPr>
          <w:p w14:paraId="0E85EA0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3" w:name="_Toc23319"/>
            <w:r>
              <w:rPr>
                <w:rFonts w:hint="eastAsia" w:ascii="仿宋" w:hAnsi="仿宋" w:eastAsia="仿宋" w:cs="仿宋"/>
                <w:color w:val="000000" w:themeColor="text1"/>
                <w:sz w:val="21"/>
                <w:szCs w:val="21"/>
                <w:highlight w:val="none"/>
                <w14:textFill>
                  <w14:solidFill>
                    <w14:schemeClr w14:val="tx1"/>
                  </w14:solidFill>
                </w14:textFill>
              </w:rPr>
              <w:t>规格</w:t>
            </w:r>
            <w:bookmarkEnd w:id="3"/>
          </w:p>
        </w:tc>
        <w:tc>
          <w:tcPr>
            <w:tcW w:w="831" w:type="dxa"/>
            <w:vAlign w:val="center"/>
          </w:tcPr>
          <w:p w14:paraId="3667F477">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4" w:name="_Toc28484"/>
            <w:r>
              <w:rPr>
                <w:rFonts w:hint="default" w:ascii="仿宋" w:hAnsi="仿宋" w:eastAsia="仿宋" w:cs="仿宋"/>
                <w:color w:val="000000" w:themeColor="text1"/>
                <w:sz w:val="21"/>
                <w:szCs w:val="21"/>
                <w:highlight w:val="none"/>
                <w:lang w:val="en-US" w:eastAsia="zh-CN"/>
                <w14:textFill>
                  <w14:solidFill>
                    <w14:schemeClr w14:val="tx1"/>
                  </w14:solidFill>
                </w14:textFill>
              </w:rPr>
              <w:t>品牌</w:t>
            </w:r>
          </w:p>
        </w:tc>
        <w:tc>
          <w:tcPr>
            <w:tcW w:w="970" w:type="dxa"/>
            <w:vAlign w:val="center"/>
          </w:tcPr>
          <w:p w14:paraId="064D5F08">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制造商</w:t>
            </w:r>
          </w:p>
        </w:tc>
        <w:tc>
          <w:tcPr>
            <w:tcW w:w="1212" w:type="dxa"/>
            <w:vAlign w:val="center"/>
          </w:tcPr>
          <w:p w14:paraId="53E6CD66">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计量单位</w:t>
            </w:r>
            <w:bookmarkEnd w:id="4"/>
          </w:p>
        </w:tc>
        <w:tc>
          <w:tcPr>
            <w:tcW w:w="1212" w:type="dxa"/>
            <w:vAlign w:val="center"/>
          </w:tcPr>
          <w:p w14:paraId="6C30A860">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5" w:name="_Toc11791"/>
            <w:r>
              <w:rPr>
                <w:rFonts w:hint="eastAsia" w:ascii="仿宋" w:hAnsi="仿宋" w:eastAsia="仿宋" w:cs="仿宋"/>
                <w:color w:val="000000" w:themeColor="text1"/>
                <w:sz w:val="21"/>
                <w:szCs w:val="21"/>
                <w:highlight w:val="none"/>
                <w14:textFill>
                  <w14:solidFill>
                    <w14:schemeClr w14:val="tx1"/>
                  </w14:solidFill>
                </w14:textFill>
              </w:rPr>
              <w:t>数量</w:t>
            </w:r>
            <w:bookmarkEnd w:id="5"/>
          </w:p>
        </w:tc>
        <w:tc>
          <w:tcPr>
            <w:tcW w:w="1344" w:type="dxa"/>
            <w:vAlign w:val="center"/>
          </w:tcPr>
          <w:p w14:paraId="39DE833C">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6" w:name="_Toc12328"/>
            <w:r>
              <w:rPr>
                <w:rFonts w:hint="eastAsia" w:ascii="仿宋" w:hAnsi="仿宋" w:eastAsia="仿宋" w:cs="仿宋"/>
                <w:color w:val="000000" w:themeColor="text1"/>
                <w:sz w:val="21"/>
                <w:szCs w:val="21"/>
                <w:highlight w:val="none"/>
                <w14:textFill>
                  <w14:solidFill>
                    <w14:schemeClr w14:val="tx1"/>
                  </w14:solidFill>
                </w14:textFill>
              </w:rPr>
              <w:t>单价（元）</w:t>
            </w:r>
            <w:bookmarkEnd w:id="6"/>
          </w:p>
        </w:tc>
        <w:tc>
          <w:tcPr>
            <w:tcW w:w="1416" w:type="dxa"/>
            <w:vAlign w:val="center"/>
          </w:tcPr>
          <w:p w14:paraId="62B2956B">
            <w:pPr>
              <w:pStyle w:val="2"/>
              <w:keepNext w:val="0"/>
              <w:keepLines w:val="0"/>
              <w:pageBreakBefore w:val="0"/>
              <w:widowControl w:val="0"/>
              <w:shd w:val="clear"/>
              <w:kinsoku/>
              <w:wordWrap/>
              <w:overflowPunct/>
              <w:topLinePunct w:val="0"/>
              <w:autoSpaceDE/>
              <w:autoSpaceDN/>
              <w:bidi w:val="0"/>
              <w:adjustRightInd w:val="0"/>
              <w:snapToGrid w:val="0"/>
              <w:spacing w:line="240" w:lineRule="auto"/>
              <w:ind w:left="0" w:firstLine="211"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7" w:name="_Toc7450"/>
            <w:r>
              <w:rPr>
                <w:rFonts w:hint="eastAsia" w:ascii="仿宋" w:hAnsi="仿宋" w:eastAsia="仿宋" w:cs="仿宋"/>
                <w:color w:val="000000" w:themeColor="text1"/>
                <w:sz w:val="21"/>
                <w:szCs w:val="21"/>
                <w:highlight w:val="none"/>
                <w14:textFill>
                  <w14:solidFill>
                    <w14:schemeClr w14:val="tx1"/>
                  </w14:solidFill>
                </w14:textFill>
              </w:rPr>
              <w:t>金额 (元)</w:t>
            </w:r>
            <w:bookmarkEnd w:id="7"/>
          </w:p>
        </w:tc>
      </w:tr>
      <w:tr w14:paraId="3B06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DDE94B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6CA22FB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13E449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779B2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D1D197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0921AF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D85FBF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8D9D3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5424EEC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5AD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E817134">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7B39544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2D7E6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54A98BA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B9459B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46DCE3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ABF462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652D54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08FDD7C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5653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3C19674F">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1A70D7D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4996F54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3E4B5A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4AC1DFB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7D1514C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875F7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5DA836D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438D78C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406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206" w:type="dxa"/>
            <w:gridSpan w:val="3"/>
          </w:tcPr>
          <w:p w14:paraId="0110B036">
            <w:pPr>
              <w:pStyle w:val="2"/>
              <w:shd w:val="clear"/>
              <w:ind w:firstLine="310" w:firstLineChars="147"/>
              <w:rPr>
                <w:rFonts w:hint="eastAsia" w:ascii="仿宋" w:hAnsi="仿宋" w:eastAsia="仿宋" w:cs="仿宋"/>
                <w:color w:val="000000" w:themeColor="text1"/>
                <w:sz w:val="21"/>
                <w:szCs w:val="21"/>
                <w:highlight w:val="none"/>
                <w14:textFill>
                  <w14:solidFill>
                    <w14:schemeClr w14:val="tx1"/>
                  </w14:solidFill>
                </w14:textFill>
              </w:rPr>
            </w:pPr>
            <w:bookmarkStart w:id="8" w:name="_Toc12416"/>
            <w:bookmarkStart w:id="29" w:name="_GoBack"/>
            <w:bookmarkEnd w:id="29"/>
            <w:r>
              <w:rPr>
                <w:rFonts w:hint="eastAsia" w:ascii="仿宋" w:hAnsi="仿宋" w:eastAsia="仿宋" w:cs="仿宋"/>
                <w:color w:val="000000" w:themeColor="text1"/>
                <w:sz w:val="21"/>
                <w:szCs w:val="21"/>
                <w:highlight w:val="none"/>
                <w14:textFill>
                  <w14:solidFill>
                    <w14:schemeClr w14:val="tx1"/>
                  </w14:solidFill>
                </w14:textFill>
              </w:rPr>
              <w:t>合计</w:t>
            </w:r>
            <w:bookmarkEnd w:id="8"/>
          </w:p>
        </w:tc>
        <w:tc>
          <w:tcPr>
            <w:tcW w:w="831" w:type="dxa"/>
            <w:vAlign w:val="center"/>
          </w:tcPr>
          <w:p w14:paraId="3E376AA0">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9" w:name="_Toc3021"/>
          </w:p>
        </w:tc>
        <w:tc>
          <w:tcPr>
            <w:tcW w:w="970" w:type="dxa"/>
            <w:vAlign w:val="center"/>
          </w:tcPr>
          <w:p w14:paraId="3ECF693B">
            <w:pPr>
              <w:pStyle w:val="2"/>
              <w:shd w:val="clear"/>
              <w:rPr>
                <w:rFonts w:hint="eastAsia" w:ascii="仿宋" w:hAnsi="仿宋" w:eastAsia="仿宋" w:cs="仿宋"/>
                <w:color w:val="000000" w:themeColor="text1"/>
                <w:sz w:val="21"/>
                <w:szCs w:val="21"/>
                <w:highlight w:val="none"/>
                <w14:textFill>
                  <w14:solidFill>
                    <w14:schemeClr w14:val="tx1"/>
                  </w14:solidFill>
                </w14:textFill>
              </w:rPr>
            </w:pPr>
          </w:p>
        </w:tc>
        <w:tc>
          <w:tcPr>
            <w:tcW w:w="2424" w:type="dxa"/>
            <w:gridSpan w:val="2"/>
            <w:vAlign w:val="center"/>
          </w:tcPr>
          <w:p w14:paraId="48D4022B">
            <w:pPr>
              <w:pStyle w:val="2"/>
              <w:shd w:val="clea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大写</w:t>
            </w:r>
            <w:bookmarkEnd w:id="9"/>
          </w:p>
        </w:tc>
        <w:tc>
          <w:tcPr>
            <w:tcW w:w="2760" w:type="dxa"/>
            <w:gridSpan w:val="2"/>
            <w:vAlign w:val="center"/>
          </w:tcPr>
          <w:p w14:paraId="42DC3982">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10" w:name="_Toc3291"/>
            <w:r>
              <w:rPr>
                <w:rFonts w:hint="default" w:ascii="Arial" w:hAnsi="Arial" w:eastAsia="仿宋" w:cs="Arial"/>
                <w:color w:val="000000" w:themeColor="text1"/>
                <w:sz w:val="21"/>
                <w:szCs w:val="21"/>
                <w:highlight w:val="none"/>
                <w14:textFill>
                  <w14:solidFill>
                    <w14:schemeClr w14:val="tx1"/>
                  </w14:solidFill>
                </w14:textFill>
              </w:rPr>
              <w:t>¥</w:t>
            </w:r>
            <w:bookmarkEnd w:id="10"/>
          </w:p>
        </w:tc>
      </w:tr>
    </w:tbl>
    <w:p w14:paraId="5BFA61A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1" w:name="_Toc5759"/>
      <w:r>
        <w:rPr>
          <w:rFonts w:hint="eastAsia" w:ascii="仿宋" w:hAnsi="仿宋" w:eastAsia="仿宋" w:cs="仿宋"/>
          <w:b/>
          <w:color w:val="000000" w:themeColor="text1"/>
          <w:sz w:val="24"/>
          <w:szCs w:val="24"/>
          <w:highlight w:val="none"/>
          <w14:textFill>
            <w14:solidFill>
              <w14:schemeClr w14:val="tx1"/>
            </w14:solidFill>
          </w14:textFill>
        </w:rPr>
        <w:t>第二条 合同价款</w:t>
      </w:r>
      <w:bookmarkEnd w:id="11"/>
    </w:p>
    <w:p w14:paraId="7B4FF591">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2" w:name="_Toc16920"/>
      <w:r>
        <w:rPr>
          <w:rFonts w:hint="eastAsia" w:ascii="仿宋" w:hAnsi="仿宋" w:eastAsia="仿宋" w:cs="仿宋"/>
          <w:b w:val="0"/>
          <w:color w:val="000000" w:themeColor="text1"/>
          <w:sz w:val="21"/>
          <w:szCs w:val="21"/>
          <w:highlight w:val="none"/>
          <w14:textFill>
            <w14:solidFill>
              <w14:schemeClr w14:val="tx1"/>
            </w14:solidFill>
          </w14:textFill>
        </w:rPr>
        <w:t>1、合同总价为人民币大写：</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u w:val="single"/>
          <w14:textFill>
            <w14:solidFill>
              <w14:schemeClr w14:val="tx1"/>
            </w14:solidFill>
          </w14:textFill>
        </w:rPr>
        <w:t>元，RMB¥</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14:textFill>
            <w14:solidFill>
              <w14:schemeClr w14:val="tx1"/>
            </w14:solidFill>
          </w14:textFill>
        </w:rPr>
        <w:t>。</w:t>
      </w:r>
      <w:bookmarkEnd w:id="12"/>
    </w:p>
    <w:p w14:paraId="4E7A933F">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3" w:name="_Toc22771"/>
      <w:r>
        <w:rPr>
          <w:rFonts w:hint="eastAsia" w:ascii="仿宋" w:hAnsi="仿宋" w:eastAsia="仿宋" w:cs="仿宋"/>
          <w:b w:val="0"/>
          <w:color w:val="000000" w:themeColor="text1"/>
          <w:sz w:val="21"/>
          <w:szCs w:val="21"/>
          <w:highlight w:val="none"/>
          <w14:textFill>
            <w14:solidFill>
              <w14:schemeClr w14:val="tx1"/>
            </w14:solidFill>
          </w14:textFill>
        </w:rPr>
        <w:t>2、本合同总价是货物（产品）包装、运输等其他有关各项的含税费用。</w:t>
      </w:r>
      <w:bookmarkEnd w:id="13"/>
    </w:p>
    <w:p w14:paraId="572004C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4" w:name="_Toc11740"/>
      <w:r>
        <w:rPr>
          <w:rFonts w:hint="eastAsia" w:ascii="仿宋" w:hAnsi="仿宋" w:eastAsia="仿宋" w:cs="仿宋"/>
          <w:b w:val="0"/>
          <w:color w:val="000000" w:themeColor="text1"/>
          <w:sz w:val="21"/>
          <w:szCs w:val="21"/>
          <w:highlight w:val="none"/>
          <w14:textFill>
            <w14:solidFill>
              <w14:schemeClr w14:val="tx1"/>
            </w14:solidFill>
          </w14:textFill>
        </w:rPr>
        <w:t>3、本合同总价还包含乙方应当提供的伴随服务和售后服务费用。</w:t>
      </w:r>
      <w:bookmarkEnd w:id="14"/>
    </w:p>
    <w:p w14:paraId="15A677F6">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5" w:name="_Toc28511"/>
      <w:r>
        <w:rPr>
          <w:rFonts w:hint="eastAsia" w:ascii="仿宋" w:hAnsi="仿宋" w:eastAsia="仿宋" w:cs="仿宋"/>
          <w:b w:val="0"/>
          <w:color w:val="000000" w:themeColor="text1"/>
          <w:sz w:val="21"/>
          <w:szCs w:val="21"/>
          <w:highlight w:val="none"/>
          <w14:textFill>
            <w14:solidFill>
              <w14:schemeClr w14:val="tx1"/>
            </w14:solidFill>
          </w14:textFill>
        </w:rPr>
        <w:t>4、本合同执行期间合同总价不变，甲方无须另向乙方支付本合同规定之外的其他任何费用。</w:t>
      </w:r>
      <w:bookmarkEnd w:id="15"/>
    </w:p>
    <w:p w14:paraId="2BAC440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6" w:name="_Toc1038"/>
      <w:r>
        <w:rPr>
          <w:rFonts w:hint="eastAsia" w:ascii="仿宋" w:hAnsi="仿宋" w:eastAsia="仿宋" w:cs="仿宋"/>
          <w:b w:val="0"/>
          <w:color w:val="000000" w:themeColor="text1"/>
          <w:sz w:val="21"/>
          <w:szCs w:val="21"/>
          <w:highlight w:val="none"/>
          <w14:textFill>
            <w14:solidFill>
              <w14:schemeClr w14:val="tx1"/>
            </w14:solidFill>
          </w14:textFill>
        </w:rPr>
        <w:t>5、本合同总价需包含完成本项目所必须的全部费用。</w:t>
      </w:r>
      <w:bookmarkEnd w:id="16"/>
    </w:p>
    <w:p w14:paraId="29E95B9C">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bookmarkStart w:id="17" w:name="_Toc11403"/>
      <w:r>
        <w:rPr>
          <w:rFonts w:hint="eastAsia" w:ascii="仿宋" w:hAnsi="仿宋" w:eastAsia="仿宋" w:cs="仿宋"/>
          <w:color w:val="000000" w:themeColor="text1"/>
          <w:sz w:val="24"/>
          <w:szCs w:val="24"/>
          <w:highlight w:val="none"/>
          <w14:textFill>
            <w14:solidFill>
              <w14:schemeClr w14:val="tx1"/>
            </w14:solidFill>
          </w14:textFill>
        </w:rPr>
        <w:t>第三条 货款支付</w:t>
      </w:r>
      <w:bookmarkEnd w:id="17"/>
    </w:p>
    <w:p w14:paraId="3D92B07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18" w:name="_Toc26850"/>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1692BBA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 xml:space="preserve">第四条 </w:t>
      </w:r>
      <w:r>
        <w:rPr>
          <w:rFonts w:hint="eastAsia" w:ascii="仿宋" w:hAnsi="仿宋" w:eastAsia="仿宋" w:cs="仿宋"/>
          <w:b/>
          <w:bCs/>
          <w:color w:val="000000" w:themeColor="text1"/>
          <w:kern w:val="0"/>
          <w:sz w:val="24"/>
          <w:szCs w:val="24"/>
          <w:highlight w:val="none"/>
          <w:lang w:eastAsia="zh-CN"/>
          <w14:textFill>
            <w14:solidFill>
              <w14:schemeClr w14:val="tx1"/>
            </w14:solidFill>
          </w14:textFill>
        </w:rPr>
        <w:t>交货期</w:t>
      </w:r>
      <w:r>
        <w:rPr>
          <w:rFonts w:hint="eastAsia" w:ascii="仿宋" w:hAnsi="仿宋" w:eastAsia="仿宋" w:cs="仿宋"/>
          <w:b/>
          <w:bCs/>
          <w:color w:val="000000" w:themeColor="text1"/>
          <w:kern w:val="0"/>
          <w:sz w:val="24"/>
          <w:szCs w:val="24"/>
          <w:highlight w:val="none"/>
          <w14:textFill>
            <w14:solidFill>
              <w14:schemeClr w14:val="tx1"/>
            </w14:solidFill>
          </w14:textFill>
        </w:rPr>
        <w:t>与地点</w:t>
      </w:r>
      <w:bookmarkEnd w:id="18"/>
    </w:p>
    <w:p w14:paraId="3F3831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7BF80AA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1.1.1中标人未征得采购人同意和谅解而单方面延迟履行合同期限，将按违约终止合同。</w:t>
      </w:r>
    </w:p>
    <w:p w14:paraId="750ED9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1.1.2采购人遇到可能妨碍按时完工的情况，应当及时以书面形式通知采购人，说明原由、拖延的期限等；采购人在收到通知后，尽快进行情况评估并确定是否通过修改合同，酌情延长服务时间或者通过协商加收误期赔偿金。</w:t>
      </w:r>
    </w:p>
    <w:p w14:paraId="2270B2F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1.1.3如在供货过程中出现不可抗力得原因影响供货时间的，</w:t>
      </w: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相应顺延。</w:t>
      </w:r>
    </w:p>
    <w:p w14:paraId="6A07EDD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地点：</w:t>
      </w:r>
      <w:r>
        <w:rPr>
          <w:rFonts w:hint="eastAsia" w:ascii="仿宋" w:hAnsi="仿宋" w:eastAsia="仿宋" w:cs="仿宋"/>
          <w:color w:val="000000" w:themeColor="text1"/>
          <w:kern w:val="2"/>
          <w:sz w:val="21"/>
          <w:szCs w:val="21"/>
          <w:highlight w:val="none"/>
          <w:lang w:val="en-US" w:eastAsia="zh-CN"/>
          <w14:textFill>
            <w14:solidFill>
              <w14:schemeClr w14:val="tx1"/>
            </w14:solidFill>
          </w14:textFill>
        </w:rPr>
        <w:t>采购人指定地点。</w:t>
      </w:r>
    </w:p>
    <w:p w14:paraId="317A3C6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9" w:name="_Toc5671"/>
      <w:r>
        <w:rPr>
          <w:rFonts w:hint="eastAsia" w:ascii="仿宋" w:hAnsi="仿宋" w:eastAsia="仿宋" w:cs="仿宋"/>
          <w:b/>
          <w:color w:val="000000" w:themeColor="text1"/>
          <w:sz w:val="24"/>
          <w:szCs w:val="24"/>
          <w:highlight w:val="none"/>
          <w14:textFill>
            <w14:solidFill>
              <w14:schemeClr w14:val="tx1"/>
            </w14:solidFill>
          </w14:textFill>
        </w:rPr>
        <w:t>第五条 质量保证</w:t>
      </w:r>
      <w:bookmarkEnd w:id="19"/>
    </w:p>
    <w:p w14:paraId="668F95D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1、乙方须提供合格正品货物，完全符合合同规定的质量、规格的要求。</w:t>
      </w:r>
    </w:p>
    <w:p w14:paraId="63F9E39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2、质量标准按照最新颁布的国家标准、行业标准或制造商企业标准确定，上述标准不一致的，以严格标准为准。</w:t>
      </w:r>
    </w:p>
    <w:p w14:paraId="43746B3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0" w:name="_Toc7279"/>
      <w:r>
        <w:rPr>
          <w:rFonts w:hint="eastAsia" w:ascii="仿宋" w:hAnsi="仿宋" w:eastAsia="仿宋" w:cs="仿宋"/>
          <w:b/>
          <w:color w:val="000000" w:themeColor="text1"/>
          <w:sz w:val="24"/>
          <w:szCs w:val="24"/>
          <w:highlight w:val="none"/>
          <w14:textFill>
            <w14:solidFill>
              <w14:schemeClr w14:val="tx1"/>
            </w14:solidFill>
          </w14:textFill>
        </w:rPr>
        <w:t>第六条 权利保证</w:t>
      </w:r>
      <w:bookmarkEnd w:id="20"/>
    </w:p>
    <w:p w14:paraId="3EC4A05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1、乙方保证对其出售的货物享有合法的权利。</w:t>
      </w:r>
    </w:p>
    <w:p w14:paraId="43645A6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2、乙方保证对其出售的货物上不存在任何未曾向甲方透露的担保物权，如抵押权、质押权、留置权。</w:t>
      </w:r>
    </w:p>
    <w:p w14:paraId="7F445BD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3、乙方保证对其出售的货物或其任何一部分没有侵犯第三方的专利权、版权、商标权或其他权利。</w:t>
      </w:r>
    </w:p>
    <w:p w14:paraId="202C78D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4、如甲方在使用该货物构成上述侵权的，则由乙方承担全部责任。</w:t>
      </w:r>
    </w:p>
    <w:p w14:paraId="467D380C">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30"/>
          <w:szCs w:val="30"/>
          <w:highlight w:val="none"/>
          <w14:textFill>
            <w14:solidFill>
              <w14:schemeClr w14:val="tx1"/>
            </w14:solidFill>
          </w14:textFill>
        </w:rPr>
      </w:pPr>
      <w:bookmarkStart w:id="21" w:name="_Toc129"/>
      <w:r>
        <w:rPr>
          <w:rFonts w:hint="eastAsia" w:ascii="仿宋" w:hAnsi="仿宋" w:eastAsia="仿宋" w:cs="仿宋"/>
          <w:b/>
          <w:color w:val="000000" w:themeColor="text1"/>
          <w:sz w:val="24"/>
          <w:szCs w:val="24"/>
          <w:highlight w:val="none"/>
          <w14:textFill>
            <w14:solidFill>
              <w14:schemeClr w14:val="tx1"/>
            </w14:solidFill>
          </w14:textFill>
        </w:rPr>
        <w:t>第七条 包装要求与运输方式</w:t>
      </w:r>
      <w:bookmarkEnd w:id="21"/>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z w:val="30"/>
          <w:szCs w:val="30"/>
          <w:highlight w:val="none"/>
          <w14:textFill>
            <w14:solidFill>
              <w14:schemeClr w14:val="tx1"/>
            </w14:solidFill>
          </w14:textFill>
        </w:rPr>
        <w:t xml:space="preserve"> </w:t>
      </w:r>
    </w:p>
    <w:p w14:paraId="6929533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1、除合同另有规定外，乙方提供的全部货物均应按标准保护措施进行包装，该包装应适应于远距离运输、防潮、防震、防锈和防野蛮装卸，以确保货物安全运抵指定地点。</w:t>
      </w:r>
    </w:p>
    <w:p w14:paraId="3D6D27F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2、每一包装单元应附详细的装箱单和质量合格证。</w:t>
      </w:r>
    </w:p>
    <w:p w14:paraId="54B507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3、货物（产品）运输方式：</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25970A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4、乙方负责货物（产品）运输，货物运输的计算方法。</w:t>
      </w:r>
    </w:p>
    <w:p w14:paraId="2D94C5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2" w:name="_Toc11592"/>
      <w:r>
        <w:rPr>
          <w:rFonts w:hint="eastAsia" w:ascii="仿宋" w:hAnsi="仿宋" w:eastAsia="仿宋" w:cs="仿宋"/>
          <w:b/>
          <w:color w:val="000000" w:themeColor="text1"/>
          <w:sz w:val="24"/>
          <w:szCs w:val="24"/>
          <w:highlight w:val="none"/>
          <w14:textFill>
            <w14:solidFill>
              <w14:schemeClr w14:val="tx1"/>
            </w14:solidFill>
          </w14:textFill>
        </w:rPr>
        <w:t>第八条 验收</w:t>
      </w:r>
      <w:bookmarkEnd w:id="22"/>
    </w:p>
    <w:p w14:paraId="27602C9C">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23" w:name="_Toc32307"/>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7855026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第九条 售后服务</w:t>
      </w:r>
      <w:bookmarkEnd w:id="23"/>
    </w:p>
    <w:p w14:paraId="351CD3D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24" w:name="_Toc11515"/>
      <w:r>
        <w:rPr>
          <w:rFonts w:hint="eastAsia" w:ascii="仿宋" w:hAnsi="仿宋" w:eastAsia="仿宋" w:cs="仿宋"/>
          <w:color w:val="000000" w:themeColor="text1"/>
          <w:sz w:val="21"/>
          <w:szCs w:val="21"/>
          <w:highlight w:val="none"/>
          <w:lang w:val="en-US" w:eastAsia="zh-CN"/>
          <w14:textFill>
            <w14:solidFill>
              <w14:schemeClr w14:val="tx1"/>
            </w14:solidFill>
          </w14:textFill>
        </w:rPr>
        <w:t>执行投标文件</w:t>
      </w:r>
    </w:p>
    <w:p w14:paraId="17A37C6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第十条 违约责任</w:t>
      </w:r>
      <w:bookmarkEnd w:id="24"/>
    </w:p>
    <w:p w14:paraId="7A317EA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25" w:name="_Toc31609"/>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60141BB0">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合同的变更和终止</w:t>
      </w:r>
      <w:bookmarkEnd w:id="25"/>
    </w:p>
    <w:p w14:paraId="1C418CE3">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1C80C81">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6" w:name="_Toc304"/>
      <w:r>
        <w:rPr>
          <w:rFonts w:hint="eastAsia" w:ascii="仿宋" w:hAnsi="仿宋" w:eastAsia="仿宋" w:cs="仿宋"/>
          <w:b/>
          <w:color w:val="000000" w:themeColor="text1"/>
          <w:kern w:val="0"/>
          <w:sz w:val="24"/>
          <w:szCs w:val="24"/>
          <w:highlight w:val="none"/>
          <w14:textFill>
            <w14:solidFill>
              <w14:schemeClr w14:val="tx1"/>
            </w14:solidFill>
          </w14:textFill>
        </w:rPr>
        <w:t>第十</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二</w:t>
      </w:r>
      <w:r>
        <w:rPr>
          <w:rFonts w:hint="eastAsia" w:ascii="仿宋" w:hAnsi="仿宋" w:eastAsia="仿宋" w:cs="仿宋"/>
          <w:b/>
          <w:color w:val="000000" w:themeColor="text1"/>
          <w:kern w:val="0"/>
          <w:sz w:val="24"/>
          <w:szCs w:val="24"/>
          <w:highlight w:val="none"/>
          <w14:textFill>
            <w14:solidFill>
              <w14:schemeClr w14:val="tx1"/>
            </w14:solidFill>
          </w14:textFill>
        </w:rPr>
        <w:t>条 争议的解决</w:t>
      </w:r>
      <w:bookmarkEnd w:id="26"/>
    </w:p>
    <w:p w14:paraId="5B98EC7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0C884D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2、因履行本合同引起的或与本合同有关的争议，甲、乙双方应首先通过友好协商解决，如果协商不成，则采取以下第_1_种方式解决争议：</w:t>
      </w:r>
    </w:p>
    <w:p w14:paraId="190B9C0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（1）向甲方所在地有管辖权的人民法院提起诉讼；</w:t>
      </w:r>
    </w:p>
    <w:p w14:paraId="5BC05F5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（2）向____________仲裁委员会按其仲裁规则申请仲裁。</w:t>
      </w:r>
    </w:p>
    <w:p w14:paraId="54FD103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3、在仲裁期间，本合同应继续履行。</w:t>
      </w:r>
    </w:p>
    <w:p w14:paraId="00F79234">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textAlignment w:val="baseline"/>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7" w:name="_Toc22373"/>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条合同文件</w:t>
      </w:r>
      <w:bookmarkEnd w:id="27"/>
    </w:p>
    <w:p w14:paraId="1B65662B">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textAlignment w:val="baseline"/>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详细技术说明及其他有关合同项目的特定信息由合同附件予以说明，下列文件构成本合同的组成部分，应该认为是一个整体，彼此相互解释，相互补充。组成合同的多个文件的优先支配地位的次序如下：</w:t>
      </w:r>
    </w:p>
    <w:p w14:paraId="73BA4CBC">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1、本合同书</w:t>
      </w:r>
    </w:p>
    <w:p w14:paraId="342E5653">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2、中标通知书</w:t>
      </w:r>
      <w:r>
        <w:rPr>
          <w:rFonts w:hint="eastAsia" w:ascii="仿宋" w:hAnsi="仿宋" w:eastAsia="仿宋" w:cs="仿宋"/>
          <w:color w:val="000000" w:themeColor="text1"/>
          <w:szCs w:val="21"/>
          <w:highlight w:val="none"/>
          <w14:textFill>
            <w14:solidFill>
              <w14:schemeClr w14:val="tx1"/>
            </w14:solidFill>
          </w14:textFill>
        </w:rPr>
        <w:tab/>
      </w:r>
    </w:p>
    <w:p w14:paraId="23F18DCE">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3、协议</w:t>
      </w:r>
    </w:p>
    <w:p w14:paraId="5D5963C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val="en-US" w:eastAsia="zh-CN"/>
          <w14:textFill>
            <w14:solidFill>
              <w14:schemeClr w14:val="tx1"/>
            </w14:solidFill>
          </w14:textFill>
        </w:rPr>
        <w:t>招标</w:t>
      </w:r>
      <w:r>
        <w:rPr>
          <w:rFonts w:hint="eastAsia" w:ascii="仿宋" w:hAnsi="仿宋" w:eastAsia="仿宋" w:cs="仿宋"/>
          <w:color w:val="000000" w:themeColor="text1"/>
          <w:szCs w:val="21"/>
          <w:highlight w:val="none"/>
          <w14:textFill>
            <w14:solidFill>
              <w14:schemeClr w14:val="tx1"/>
            </w14:solidFill>
          </w14:textFill>
        </w:rPr>
        <w:t>文件(含澄清文件)</w:t>
      </w:r>
    </w:p>
    <w:p w14:paraId="0C9594ED">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5、投标文件</w:t>
      </w:r>
    </w:p>
    <w:p w14:paraId="253D4908">
      <w:pPr>
        <w:pStyle w:val="6"/>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6、附件：安全责任协议（签订时合同时一并签订）</w:t>
      </w:r>
    </w:p>
    <w:p w14:paraId="2BF154DD">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8" w:name="_Toc11752"/>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合同生效及其他</w:t>
      </w:r>
      <w:bookmarkEnd w:id="28"/>
    </w:p>
    <w:p w14:paraId="5BF0885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如有未尽事宜，由双方依法订立补充合同。</w:t>
      </w:r>
    </w:p>
    <w:p w14:paraId="6F62F796">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2、本合同自签订之日起生效。</w:t>
      </w:r>
    </w:p>
    <w:p w14:paraId="61CBBFC5">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3、本合同一式___份，具有同等法律效力，甲乙双方各执____份，___份报送政府采购监督管理部门备案，一份采购代理机构存档。</w:t>
      </w:r>
    </w:p>
    <w:p w14:paraId="4585E2FD">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778BFE27">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28DA721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甲方：   （盖章）   </w:t>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 xml:space="preserve">   乙方：   （盖章）</w:t>
      </w:r>
    </w:p>
    <w:p w14:paraId="5ED2D6F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法定代表人/授权代表：              法定代表人/授权代表：</w:t>
      </w:r>
    </w:p>
    <w:p w14:paraId="7D35FAE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地    址：                         地    址：</w:t>
      </w:r>
    </w:p>
    <w:p w14:paraId="30366DA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开户银行：                         开户银行：</w:t>
      </w:r>
    </w:p>
    <w:p w14:paraId="4A029E0E">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账    号：                         账    号：</w:t>
      </w:r>
    </w:p>
    <w:p w14:paraId="5D9DDE0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电    话：                         电    话：</w:t>
      </w:r>
    </w:p>
    <w:p w14:paraId="300C54F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传    真：                         传    真：</w:t>
      </w:r>
    </w:p>
    <w:p w14:paraId="7FAC32A0">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Theme="minorEastAsia" w:hAnsiTheme="minorEastAsia" w:eastAsiaTheme="minorEastAsia" w:cstheme="minorEastAsia"/>
          <w:highlight w:val="none"/>
        </w:rPr>
      </w:pPr>
      <w:r>
        <w:rPr>
          <w:rFonts w:hint="eastAsia" w:ascii="仿宋" w:hAnsi="仿宋" w:eastAsia="仿宋" w:cs="仿宋"/>
          <w:color w:val="000000" w:themeColor="text1"/>
          <w:szCs w:val="21"/>
          <w:highlight w:val="none"/>
          <w14:textFill>
            <w14:solidFill>
              <w14:schemeClr w14:val="tx1"/>
            </w14:solidFill>
          </w14:textFill>
        </w:rPr>
        <w:t>签约日期：    年  月  日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407653B9"/>
    <w:rsid w:val="40920399"/>
    <w:rsid w:val="43C30947"/>
    <w:rsid w:val="4C520100"/>
    <w:rsid w:val="5A5267CF"/>
    <w:rsid w:val="5CA97B29"/>
    <w:rsid w:val="63B079EF"/>
    <w:rsid w:val="66F916AD"/>
    <w:rsid w:val="6CCD022B"/>
    <w:rsid w:val="791D4091"/>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djustRightInd w:val="0"/>
      <w:spacing w:line="312" w:lineRule="atLeast"/>
      <w:ind w:firstLine="420"/>
      <w:textAlignment w:val="baseline"/>
    </w:pPr>
    <w:rPr>
      <w:rFonts w:ascii="宋体"/>
      <w:kern w:val="0"/>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next w:val="1"/>
    <w:autoRedefine/>
    <w:unhideWhenUsed/>
    <w:qFormat/>
    <w:uiPriority w:val="99"/>
    <w:pPr>
      <w:spacing w:after="120"/>
    </w:pPr>
  </w:style>
  <w:style w:type="paragraph" w:styleId="7">
    <w:name w:val="Block Text"/>
    <w:basedOn w:val="1"/>
    <w:next w:val="8"/>
    <w:autoRedefine/>
    <w:qFormat/>
    <w:uiPriority w:val="0"/>
    <w:pPr>
      <w:spacing w:after="120"/>
      <w:ind w:left="1440" w:leftChars="700" w:right="700" w:rightChars="700"/>
    </w:pPr>
  </w:style>
  <w:style w:type="paragraph" w:styleId="8">
    <w:name w:val="Plain Text"/>
    <w:basedOn w:val="1"/>
    <w:next w:val="1"/>
    <w:autoRedefine/>
    <w:qFormat/>
    <w:uiPriority w:val="0"/>
    <w:rPr>
      <w:rFonts w:ascii="宋体" w:hAnsi="宋体"/>
      <w:szCs w:val="21"/>
    </w:rPr>
  </w:style>
  <w:style w:type="paragraph" w:styleId="9">
    <w:name w:val="toc 1"/>
    <w:basedOn w:val="1"/>
    <w:next w:val="1"/>
    <w:autoRedefine/>
    <w:qFormat/>
    <w:uiPriority w:val="0"/>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null3"/>
    <w:autoRedefine/>
    <w:qFormat/>
    <w:uiPriority w:val="0"/>
    <w:rPr>
      <w:rFonts w:hint="eastAsia" w:ascii="Calibri" w:hAnsi="Calibri" w:eastAsia="宋体" w:cs="Times New Roman"/>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3549</Words>
  <Characters>3594</Characters>
  <Lines>0</Lines>
  <Paragraphs>0</Paragraphs>
  <TotalTime>4</TotalTime>
  <ScaleCrop>false</ScaleCrop>
  <LinksUpToDate>false</LinksUpToDate>
  <CharactersWithSpaces>3872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大眼邓小眼</cp:lastModifiedBy>
  <dcterms:modified xsi:type="dcterms:W3CDTF">2026-01-16T07:32:43Z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0909B54BE12242FB8C32DB63AD4498EB_12</vt:lpwstr>
  </property>
  <property fmtid="{D5CDD505-2E9C-101B-9397-08002B2CF9AE}" pid="4" name="KSOTemplateDocerSaveRecord">
    <vt:lpwstr>eyJoZGlkIjoiYTc5NTVlZWY0ZTBmZGIxMDBkZGNlMzkwYzU5MTNlOGMiLCJ1c2VySWQiOiIxNzIyMTc2ODUyIn0=</vt:lpwstr>
  </property>
</Properties>
</file>