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版本号：FDDL-202600520260120001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汉山街道汉山村2025年“千万工程”示范村基础设施提升改造项目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FDDL-2026005</w:t>
      </w:r>
      <w:r>
        <w:br/>
      </w:r>
      <w:r>
        <w:br/>
      </w:r>
      <w:r>
        <w:br/>
      </w:r>
    </w:p>
    <w:p>
      <w:pPr>
        <w:pStyle w:val="null3"/>
        <w:jc w:val="center"/>
        <w:outlineLvl w:val="2"/>
      </w:pPr>
      <w:r>
        <w:rPr>
          <w:rFonts w:ascii="仿宋_GB2312" w:hAnsi="仿宋_GB2312" w:cs="仿宋_GB2312" w:eastAsia="仿宋_GB2312"/>
          <w:sz w:val="28"/>
          <w:b/>
        </w:rPr>
        <w:t>汉中市南郑区汉山街道办事处</w:t>
      </w:r>
    </w:p>
    <w:p>
      <w:pPr>
        <w:pStyle w:val="null3"/>
        <w:jc w:val="center"/>
        <w:outlineLvl w:val="2"/>
      </w:pPr>
      <w:r>
        <w:rPr>
          <w:rFonts w:ascii="仿宋_GB2312" w:hAnsi="仿宋_GB2312" w:cs="仿宋_GB2312" w:eastAsia="仿宋_GB2312"/>
          <w:sz w:val="28"/>
          <w:b/>
        </w:rPr>
        <w:t>陕西方得项目管理有限公司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陕西方得项目管理有限公司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汉中市南郑区汉山街道办事处</w:t>
      </w:r>
      <w:r>
        <w:rPr>
          <w:rFonts w:ascii="仿宋_GB2312" w:hAnsi="仿宋_GB2312" w:cs="仿宋_GB2312" w:eastAsia="仿宋_GB2312"/>
        </w:rPr>
        <w:t>委托，拟对</w:t>
      </w:r>
      <w:r>
        <w:rPr>
          <w:rFonts w:ascii="仿宋_GB2312" w:hAnsi="仿宋_GB2312" w:cs="仿宋_GB2312" w:eastAsia="仿宋_GB2312"/>
        </w:rPr>
        <w:t>汉山街道汉山村2025年“千万工程”示范村基础设施提升改造项目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FDDL-2026005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汉山街道汉山村2025年“千万工程”示范村基础设施提升改造项目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1、汉山村:一组道路改造铺油长 900 米、宽5米，加固安装道路安防设施1300米。(50万) 2、赵家湾村:1、农户房前屋后三堆六乱治理8处(10万):2、新建公厕一座(20万):3、产业路边沟水毁修复(浆砌护坎)(20万)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采购包1（汉山街道汉山村2025年“千万工程”示范村基础设施提升改造项目）：属于专门面向中小企业采购。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要求及拟派项目负责人：供应商须具备建设行政主管部门核发的建筑工程施工总承包三级及以上资质等级，目具备有效的安全生产许可证，并在人员、设备、资金等方面具备相应的施工能力;供应商拟派项目负责人须具备建筑工程专业二级及以上注册建造师执业资格，并取得安全生产考核合格证书(建安B证)，且无在建工程，无不良记录。</w:t>
      </w:r>
    </w:p>
    <w:p>
      <w:pPr>
        <w:pStyle w:val="null3"/>
      </w:pPr>
      <w:r>
        <w:rPr>
          <w:rFonts w:ascii="仿宋_GB2312" w:hAnsi="仿宋_GB2312" w:cs="仿宋_GB2312" w:eastAsia="仿宋_GB2312"/>
        </w:rPr>
        <w:t>2、营业执照：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pPr>
        <w:pStyle w:val="null3"/>
      </w:pPr>
      <w:r>
        <w:rPr>
          <w:rFonts w:ascii="仿宋_GB2312" w:hAnsi="仿宋_GB2312" w:cs="仿宋_GB2312" w:eastAsia="仿宋_GB2312"/>
        </w:rPr>
        <w:t>3、授权委托书：法定代表人授权委托书(附法定代表人身份证复印件)及被授权委托人身份证(法定代表人参加投标只须提供法定代表人身份证);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4、信用信息及资格承诺函：供应商须具有良好的商业信誉和健全的财务会计制度、具有履行合同所必需的设备和专业技术能力、具有依法缴纳税收和社会保障资金的良好记录，参加本项目采购活动前三年内“重大税。在经营活动中无重大违法活动记录，未列入在信用中国网站“失信被执行人"收违法案件当事人名单”中(www.creditchina.gov.cn)，未列入中国政府采购网“政府采购严重违法失信行为记录名单”中(www.ccgp.gov.cn)，供应商需提供加盖公章的《汉中市政府采购供应商资格承诺函》，供应商需在项目电子化交易系统中按要求上传相应证明文件并进行电子签章;</w:t>
      </w:r>
    </w:p>
    <w:p>
      <w:pPr>
        <w:pStyle w:val="null3"/>
      </w:pPr>
      <w:r>
        <w:rPr>
          <w:rFonts w:ascii="仿宋_GB2312" w:hAnsi="仿宋_GB2312" w:cs="仿宋_GB2312" w:eastAsia="仿宋_GB2312"/>
        </w:rPr>
        <w:t>5、非联合体：本项目不接受联合体投标。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汉中市南郑区汉山街道办事处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汉山街道办南一环十字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18740453470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陕西方得项目管理有限公司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汉中市汉台区南关正街幺儿拐旧货交易市场隔壁</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0916-8887768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发的《招标代理服务收费管理暂行办法》（计价格[2002]1980号）和国家发展改革委员会办公厅颁发的《关于招标代理服务收费有关问题的通知》（发改办价格[2003]857号）的有关规定执行。 成交供应商在领取成交通知书前，须向采购代理机构一次性支付招标代理服务费。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汉中市南郑区汉山街道办事处</w:t>
      </w:r>
      <w:r>
        <w:rPr>
          <w:rFonts w:ascii="仿宋_GB2312" w:hAnsi="仿宋_GB2312" w:cs="仿宋_GB2312" w:eastAsia="仿宋_GB2312"/>
        </w:rPr>
        <w:t>和</w:t>
      </w:r>
      <w:r>
        <w:rPr>
          <w:rFonts w:ascii="仿宋_GB2312" w:hAnsi="仿宋_GB2312" w:cs="仿宋_GB2312" w:eastAsia="仿宋_GB2312"/>
        </w:rPr>
        <w:t>陕西方得项目管理有限公司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汉中市南郑区汉山街道办事处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陕西方得项目管理有限公司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汉中市南郑区汉山街道办事处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陕西方得项目管理有限公司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按国家标准和合同约定执行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陕西方得项目管理有限公司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陕西方得项目管理有限公司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陕西方得项目管理有限公司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联系人：李女士</w:t>
      </w:r>
    </w:p>
    <w:p>
      <w:pPr>
        <w:pStyle w:val="null3"/>
      </w:pPr>
      <w:r>
        <w:rPr>
          <w:rFonts w:ascii="仿宋_GB2312" w:hAnsi="仿宋_GB2312" w:cs="仿宋_GB2312" w:eastAsia="仿宋_GB2312"/>
        </w:rPr>
        <w:t>联系电话：0916-8887768</w:t>
      </w:r>
    </w:p>
    <w:p>
      <w:pPr>
        <w:pStyle w:val="null3"/>
      </w:pPr>
      <w:r>
        <w:rPr>
          <w:rFonts w:ascii="仿宋_GB2312" w:hAnsi="仿宋_GB2312" w:cs="仿宋_GB2312" w:eastAsia="仿宋_GB2312"/>
        </w:rPr>
        <w:t>地址：汉中市汉台区南关正街幺儿拐旧货交易市场隔壁</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95"/>
              <w:jc w:val="both"/>
            </w:pPr>
            <w:r>
              <w:rPr>
                <w:rFonts w:ascii="仿宋_GB2312" w:hAnsi="仿宋_GB2312" w:cs="仿宋_GB2312" w:eastAsia="仿宋_GB2312"/>
                <w:sz w:val="21"/>
                <w:b/>
              </w:rPr>
              <w:t>一、工程概况</w:t>
            </w:r>
          </w:p>
          <w:p>
            <w:pPr>
              <w:pStyle w:val="null3"/>
              <w:spacing w:after="195"/>
            </w:pPr>
            <w:r>
              <w:rPr>
                <w:rFonts w:ascii="仿宋_GB2312" w:hAnsi="仿宋_GB2312" w:cs="仿宋_GB2312" w:eastAsia="仿宋_GB2312"/>
                <w:sz w:val="21"/>
              </w:rPr>
              <w:t>1、建设地点：</w:t>
            </w:r>
            <w:r>
              <w:rPr>
                <w:rFonts w:ascii="仿宋_GB2312" w:hAnsi="仿宋_GB2312" w:cs="仿宋_GB2312" w:eastAsia="仿宋_GB2312"/>
                <w:sz w:val="21"/>
              </w:rPr>
              <w:t>陕西省汉中市南郑区</w:t>
            </w:r>
            <w:r>
              <w:rPr>
                <w:rFonts w:ascii="仿宋_GB2312" w:hAnsi="仿宋_GB2312" w:cs="仿宋_GB2312" w:eastAsia="仿宋_GB2312"/>
                <w:sz w:val="21"/>
              </w:rPr>
              <w:t>汉山村、赵家湾村</w:t>
            </w:r>
          </w:p>
          <w:p>
            <w:pPr>
              <w:pStyle w:val="null3"/>
              <w:spacing w:after="195"/>
            </w:pPr>
            <w:r>
              <w:rPr>
                <w:rFonts w:ascii="仿宋_GB2312" w:hAnsi="仿宋_GB2312" w:cs="仿宋_GB2312" w:eastAsia="仿宋_GB2312"/>
                <w:sz w:val="21"/>
              </w:rPr>
              <w:t>2、工程专业：</w:t>
            </w:r>
            <w:r>
              <w:rPr>
                <w:rFonts w:ascii="仿宋_GB2312" w:hAnsi="仿宋_GB2312" w:cs="仿宋_GB2312" w:eastAsia="仿宋_GB2312"/>
                <w:sz w:val="21"/>
              </w:rPr>
              <w:t>房建、</w:t>
            </w:r>
            <w:r>
              <w:rPr>
                <w:rFonts w:ascii="仿宋_GB2312" w:hAnsi="仿宋_GB2312" w:cs="仿宋_GB2312" w:eastAsia="仿宋_GB2312"/>
                <w:sz w:val="21"/>
              </w:rPr>
              <w:t>市政土建工程</w:t>
            </w:r>
          </w:p>
          <w:p>
            <w:pPr>
              <w:pStyle w:val="null3"/>
              <w:spacing w:after="195"/>
            </w:pPr>
            <w:r>
              <w:rPr>
                <w:rFonts w:ascii="仿宋_GB2312" w:hAnsi="仿宋_GB2312" w:cs="仿宋_GB2312" w:eastAsia="仿宋_GB2312"/>
                <w:sz w:val="21"/>
              </w:rPr>
              <w:t>3、合同工期：工期</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30 </w:t>
            </w:r>
            <w:r>
              <w:rPr>
                <w:rFonts w:ascii="仿宋_GB2312" w:hAnsi="仿宋_GB2312" w:cs="仿宋_GB2312" w:eastAsia="仿宋_GB2312"/>
                <w:sz w:val="21"/>
              </w:rPr>
              <w:t>天；工程质量：合格工程</w:t>
            </w:r>
            <w:r>
              <w:rPr>
                <w:rFonts w:ascii="仿宋_GB2312" w:hAnsi="仿宋_GB2312" w:cs="仿宋_GB2312" w:eastAsia="仿宋_GB2312"/>
                <w:sz w:val="21"/>
              </w:rPr>
              <w:t>。</w:t>
            </w:r>
          </w:p>
          <w:p>
            <w:pPr>
              <w:pStyle w:val="null3"/>
              <w:spacing w:after="195"/>
            </w:pPr>
            <w:r>
              <w:rPr>
                <w:rFonts w:ascii="仿宋_GB2312" w:hAnsi="仿宋_GB2312" w:cs="仿宋_GB2312" w:eastAsia="仿宋_GB2312"/>
                <w:sz w:val="21"/>
              </w:rPr>
              <w:t>4、招标范围：</w:t>
            </w:r>
            <w:r>
              <w:rPr>
                <w:rFonts w:ascii="仿宋_GB2312" w:hAnsi="仿宋_GB2312" w:cs="仿宋_GB2312" w:eastAsia="仿宋_GB2312"/>
                <w:sz w:val="21"/>
              </w:rPr>
              <w:t>图纸内</w:t>
            </w:r>
            <w:r>
              <w:rPr>
                <w:rFonts w:ascii="仿宋_GB2312" w:hAnsi="仿宋_GB2312" w:cs="仿宋_GB2312" w:eastAsia="仿宋_GB2312"/>
                <w:sz w:val="21"/>
              </w:rPr>
              <w:t>本项目</w:t>
            </w:r>
            <w:r>
              <w:rPr>
                <w:rFonts w:ascii="仿宋_GB2312" w:hAnsi="仿宋_GB2312" w:cs="仿宋_GB2312" w:eastAsia="仿宋_GB2312"/>
                <w:sz w:val="21"/>
              </w:rPr>
              <w:t>“</w:t>
            </w:r>
            <w:r>
              <w:rPr>
                <w:rFonts w:ascii="仿宋_GB2312" w:hAnsi="仿宋_GB2312" w:cs="仿宋_GB2312" w:eastAsia="仿宋_GB2312"/>
                <w:sz w:val="21"/>
              </w:rPr>
              <w:t>汉山街道汉山村</w:t>
            </w:r>
            <w:r>
              <w:rPr>
                <w:rFonts w:ascii="仿宋_GB2312" w:hAnsi="仿宋_GB2312" w:cs="仿宋_GB2312" w:eastAsia="仿宋_GB2312"/>
                <w:sz w:val="21"/>
              </w:rPr>
              <w:t>2025年“千万工程”示范村基础设施提升改造项目</w:t>
            </w:r>
            <w:r>
              <w:rPr>
                <w:rFonts w:ascii="仿宋_GB2312" w:hAnsi="仿宋_GB2312" w:cs="仿宋_GB2312" w:eastAsia="仿宋_GB2312"/>
                <w:sz w:val="21"/>
              </w:rPr>
              <w:t>”施工图的载明的工程内容</w:t>
            </w:r>
            <w:r>
              <w:rPr>
                <w:rFonts w:ascii="仿宋_GB2312" w:hAnsi="仿宋_GB2312" w:cs="仿宋_GB2312" w:eastAsia="仿宋_GB2312"/>
                <w:sz w:val="21"/>
              </w:rPr>
              <w:t>及</w:t>
            </w:r>
            <w:r>
              <w:rPr>
                <w:rFonts w:ascii="仿宋_GB2312" w:hAnsi="仿宋_GB2312" w:cs="仿宋_GB2312" w:eastAsia="仿宋_GB2312"/>
                <w:sz w:val="21"/>
              </w:rPr>
              <w:t>甲方确认的发包范围；</w:t>
            </w:r>
            <w:r>
              <w:rPr>
                <w:rFonts w:ascii="仿宋_GB2312" w:hAnsi="仿宋_GB2312" w:cs="仿宋_GB2312" w:eastAsia="仿宋_GB2312"/>
                <w:sz w:val="21"/>
              </w:rPr>
              <w:t>编制范围包括：房建、</w:t>
            </w:r>
            <w:r>
              <w:rPr>
                <w:rFonts w:ascii="仿宋_GB2312" w:hAnsi="仿宋_GB2312" w:cs="仿宋_GB2312" w:eastAsia="仿宋_GB2312"/>
                <w:sz w:val="21"/>
              </w:rPr>
              <w:t>市政土建工程</w:t>
            </w:r>
            <w:r>
              <w:rPr>
                <w:rFonts w:ascii="仿宋_GB2312" w:hAnsi="仿宋_GB2312" w:cs="仿宋_GB2312" w:eastAsia="仿宋_GB2312"/>
                <w:sz w:val="21"/>
              </w:rPr>
              <w:t>。</w:t>
            </w:r>
          </w:p>
          <w:p>
            <w:pPr>
              <w:pStyle w:val="null3"/>
              <w:spacing w:after="195"/>
            </w:pPr>
            <w:r>
              <w:rPr>
                <w:rFonts w:ascii="仿宋_GB2312" w:hAnsi="仿宋_GB2312" w:cs="仿宋_GB2312" w:eastAsia="仿宋_GB2312"/>
                <w:sz w:val="21"/>
                <w:b/>
              </w:rPr>
              <w:t>二、</w:t>
            </w:r>
            <w:r>
              <w:rPr>
                <w:rFonts w:ascii="仿宋_GB2312" w:hAnsi="仿宋_GB2312" w:cs="仿宋_GB2312" w:eastAsia="仿宋_GB2312"/>
                <w:sz w:val="21"/>
                <w:b/>
              </w:rPr>
              <w:t>预算定额</w:t>
            </w:r>
            <w:r>
              <w:rPr>
                <w:rFonts w:ascii="仿宋_GB2312" w:hAnsi="仿宋_GB2312" w:cs="仿宋_GB2312" w:eastAsia="仿宋_GB2312"/>
                <w:sz w:val="21"/>
                <w:b/>
              </w:rPr>
              <w:t>依据</w:t>
            </w:r>
            <w:r>
              <w:rPr>
                <w:rFonts w:ascii="仿宋_GB2312" w:hAnsi="仿宋_GB2312" w:cs="仿宋_GB2312" w:eastAsia="仿宋_GB2312"/>
                <w:sz w:val="21"/>
                <w:b/>
              </w:rPr>
              <w:t>：</w:t>
            </w:r>
          </w:p>
          <w:p>
            <w:pPr>
              <w:pStyle w:val="null3"/>
              <w:spacing w:after="195"/>
            </w:pPr>
            <w:r>
              <w:rPr>
                <w:rFonts w:ascii="仿宋_GB2312" w:hAnsi="仿宋_GB2312" w:cs="仿宋_GB2312" w:eastAsia="仿宋_GB2312"/>
                <w:sz w:val="21"/>
              </w:rPr>
              <w:t>《陕西省市政工程消耗量定额》（</w:t>
            </w:r>
            <w:r>
              <w:rPr>
                <w:rFonts w:ascii="仿宋_GB2312" w:hAnsi="仿宋_GB2312" w:cs="仿宋_GB2312" w:eastAsia="仿宋_GB2312"/>
                <w:sz w:val="21"/>
              </w:rPr>
              <w:t>2025版）《陕西省建筑、装饰工程消耗量定额》（2025版）《陕西省安装工程消耗量定额》（2025版）《陕西省园林绿化工程消耗量定额》（2025版）；</w:t>
            </w:r>
          </w:p>
          <w:p>
            <w:pPr>
              <w:pStyle w:val="null3"/>
              <w:spacing w:after="195"/>
            </w:pPr>
            <w:r>
              <w:rPr>
                <w:rFonts w:ascii="仿宋_GB2312" w:hAnsi="仿宋_GB2312" w:cs="仿宋_GB2312" w:eastAsia="仿宋_GB2312"/>
                <w:sz w:val="21"/>
                <w:b/>
              </w:rPr>
              <w:t>三、</w:t>
            </w:r>
            <w:r>
              <w:rPr>
                <w:rFonts w:ascii="仿宋_GB2312" w:hAnsi="仿宋_GB2312" w:cs="仿宋_GB2312" w:eastAsia="仿宋_GB2312"/>
                <w:sz w:val="21"/>
                <w:b/>
              </w:rPr>
              <w:t>取费</w:t>
            </w:r>
            <w:r>
              <w:rPr>
                <w:rFonts w:ascii="仿宋_GB2312" w:hAnsi="仿宋_GB2312" w:cs="仿宋_GB2312" w:eastAsia="仿宋_GB2312"/>
                <w:sz w:val="21"/>
                <w:b/>
              </w:rPr>
              <w:t>及计价依据：</w:t>
            </w:r>
          </w:p>
          <w:p>
            <w:pPr>
              <w:pStyle w:val="null3"/>
              <w:ind w:firstLine="420"/>
              <w:jc w:val="left"/>
            </w:pPr>
            <w:r>
              <w:rPr>
                <w:rFonts w:ascii="仿宋_GB2312" w:hAnsi="仿宋_GB2312" w:cs="仿宋_GB2312" w:eastAsia="仿宋_GB2312"/>
                <w:sz w:val="21"/>
              </w:rPr>
              <w:t>《陕西省建设工程工程量清单计价费率》（</w:t>
            </w:r>
            <w:r>
              <w:rPr>
                <w:rFonts w:ascii="仿宋_GB2312" w:hAnsi="仿宋_GB2312" w:cs="仿宋_GB2312" w:eastAsia="仿宋_GB2312"/>
                <w:sz w:val="21"/>
              </w:rPr>
              <w:t>2025版）</w:t>
            </w:r>
          </w:p>
          <w:p>
            <w:pPr>
              <w:pStyle w:val="null3"/>
              <w:spacing w:after="195"/>
              <w:ind w:firstLine="420"/>
              <w:jc w:val="both"/>
            </w:pPr>
            <w:r>
              <w:rPr>
                <w:rFonts w:ascii="仿宋_GB2312" w:hAnsi="仿宋_GB2312" w:cs="仿宋_GB2312" w:eastAsia="仿宋_GB2312"/>
                <w:sz w:val="21"/>
              </w:rPr>
              <w:t>陕西省住房和城乡建设厅《关于调整陕西省建设工程计价依据的通知》</w:t>
            </w:r>
          </w:p>
          <w:p>
            <w:pPr>
              <w:pStyle w:val="null3"/>
              <w:spacing w:after="195"/>
              <w:ind w:firstLine="420"/>
              <w:jc w:val="both"/>
            </w:pPr>
            <w:r>
              <w:rPr>
                <w:rFonts w:ascii="仿宋_GB2312" w:hAnsi="仿宋_GB2312" w:cs="仿宋_GB2312" w:eastAsia="仿宋_GB2312"/>
                <w:sz w:val="21"/>
              </w:rPr>
              <w:t>陕西省住房和城乡建设厅、陕西省财政厅《关于发布</w:t>
            </w:r>
            <w:r>
              <w:rPr>
                <w:rFonts w:ascii="仿宋_GB2312" w:hAnsi="仿宋_GB2312" w:cs="仿宋_GB2312" w:eastAsia="仿宋_GB2312"/>
                <w:sz w:val="21"/>
              </w:rPr>
              <w:t>2025年陕西省建设工程费用定额的通知》</w:t>
            </w:r>
          </w:p>
          <w:p>
            <w:pPr>
              <w:pStyle w:val="null3"/>
              <w:spacing w:after="195"/>
              <w:ind w:firstLine="420"/>
              <w:jc w:val="both"/>
            </w:pPr>
            <w:r>
              <w:rPr>
                <w:rFonts w:ascii="仿宋_GB2312" w:hAnsi="仿宋_GB2312" w:cs="仿宋_GB2312" w:eastAsia="仿宋_GB2312"/>
                <w:sz w:val="21"/>
              </w:rPr>
              <w:t>陕建发〔</w:t>
            </w:r>
            <w:r>
              <w:rPr>
                <w:rFonts w:ascii="仿宋_GB2312" w:hAnsi="仿宋_GB2312" w:cs="仿宋_GB2312" w:eastAsia="仿宋_GB2312"/>
                <w:sz w:val="21"/>
              </w:rPr>
              <w:t>2019〕45号《关于调整我省建设工程计价依据的通知》中与2025年政策无冲突的延续性条款</w:t>
            </w:r>
          </w:p>
          <w:p>
            <w:pPr>
              <w:pStyle w:val="null3"/>
              <w:spacing w:after="195"/>
              <w:ind w:firstLine="420"/>
              <w:jc w:val="both"/>
            </w:pPr>
            <w:r>
              <w:rPr>
                <w:rFonts w:ascii="仿宋_GB2312" w:hAnsi="仿宋_GB2312" w:cs="仿宋_GB2312" w:eastAsia="仿宋_GB2312"/>
                <w:sz w:val="21"/>
              </w:rPr>
              <w:t>《财政部税务总局关于明确增值税税率调整有关事项的公告》</w:t>
            </w:r>
          </w:p>
          <w:p>
            <w:pPr>
              <w:pStyle w:val="null3"/>
              <w:spacing w:after="195"/>
              <w:ind w:firstLine="420"/>
              <w:jc w:val="both"/>
            </w:pPr>
            <w:r>
              <w:rPr>
                <w:rFonts w:ascii="仿宋_GB2312" w:hAnsi="仿宋_GB2312" w:cs="仿宋_GB2312" w:eastAsia="仿宋_GB2312"/>
                <w:sz w:val="21"/>
              </w:rPr>
              <w:t>陕西省税务局《关于</w:t>
            </w:r>
            <w:r>
              <w:rPr>
                <w:rFonts w:ascii="仿宋_GB2312" w:hAnsi="仿宋_GB2312" w:cs="仿宋_GB2312" w:eastAsia="仿宋_GB2312"/>
                <w:sz w:val="21"/>
              </w:rPr>
              <w:t>2025年城市维护建设税、教育费附加及地方教育附加征收标准的通知》</w:t>
            </w:r>
          </w:p>
          <w:p>
            <w:pPr>
              <w:pStyle w:val="null3"/>
              <w:spacing w:after="195"/>
              <w:ind w:firstLine="420"/>
              <w:jc w:val="both"/>
            </w:pPr>
            <w:r>
              <w:rPr>
                <w:rFonts w:ascii="仿宋_GB2312" w:hAnsi="仿宋_GB2312" w:cs="仿宋_GB2312" w:eastAsia="仿宋_GB2312"/>
                <w:sz w:val="21"/>
              </w:rPr>
              <w:t>相关规定</w:t>
            </w:r>
            <w:r>
              <w:rPr>
                <w:rFonts w:ascii="仿宋_GB2312" w:hAnsi="仿宋_GB2312" w:cs="仿宋_GB2312" w:eastAsia="仿宋_GB2312"/>
                <w:sz w:val="21"/>
              </w:rPr>
              <w:t>材料价格采用汉中市造价办发布的</w:t>
            </w:r>
            <w:r>
              <w:rPr>
                <w:rFonts w:ascii="仿宋_GB2312" w:hAnsi="仿宋_GB2312" w:cs="仿宋_GB2312" w:eastAsia="仿宋_GB2312"/>
                <w:sz w:val="21"/>
              </w:rPr>
              <w:t>20</w:t>
            </w:r>
            <w:r>
              <w:rPr>
                <w:rFonts w:ascii="仿宋_GB2312" w:hAnsi="仿宋_GB2312" w:cs="仿宋_GB2312" w:eastAsia="仿宋_GB2312"/>
                <w:sz w:val="21"/>
              </w:rPr>
              <w:t>25</w:t>
            </w:r>
            <w:r>
              <w:rPr>
                <w:rFonts w:ascii="仿宋_GB2312" w:hAnsi="仿宋_GB2312" w:cs="仿宋_GB2312" w:eastAsia="仿宋_GB2312"/>
                <w:sz w:val="21"/>
              </w:rPr>
              <w:t>年第</w:t>
            </w:r>
            <w:r>
              <w:rPr>
                <w:rFonts w:ascii="仿宋_GB2312" w:hAnsi="仿宋_GB2312" w:cs="仿宋_GB2312" w:eastAsia="仿宋_GB2312"/>
                <w:sz w:val="21"/>
              </w:rPr>
              <w:t>11</w:t>
            </w:r>
            <w:r>
              <w:rPr>
                <w:rFonts w:ascii="仿宋_GB2312" w:hAnsi="仿宋_GB2312" w:cs="仿宋_GB2312" w:eastAsia="仿宋_GB2312"/>
                <w:sz w:val="21"/>
              </w:rPr>
              <w:t>期《建设工程造价信息》</w:t>
            </w:r>
            <w:r>
              <w:rPr>
                <w:rFonts w:ascii="仿宋_GB2312" w:hAnsi="仿宋_GB2312" w:cs="仿宋_GB2312" w:eastAsia="仿宋_GB2312"/>
                <w:sz w:val="21"/>
              </w:rPr>
              <w:t>及当前建筑材料市场价综合计入；</w:t>
            </w:r>
          </w:p>
          <w:p>
            <w:pPr>
              <w:pStyle w:val="null3"/>
              <w:spacing w:after="195"/>
            </w:pPr>
            <w:r>
              <w:rPr>
                <w:rFonts w:ascii="仿宋_GB2312" w:hAnsi="仿宋_GB2312" w:cs="仿宋_GB2312" w:eastAsia="仿宋_GB2312"/>
                <w:sz w:val="21"/>
                <w:b/>
              </w:rPr>
              <w:t>四、编制说明：</w:t>
            </w:r>
          </w:p>
          <w:p>
            <w:pPr>
              <w:pStyle w:val="null3"/>
              <w:spacing w:after="195"/>
              <w:jc w:val="both"/>
            </w:pPr>
            <w:r>
              <w:rPr>
                <w:rFonts w:ascii="仿宋_GB2312" w:hAnsi="仿宋_GB2312" w:cs="仿宋_GB2312" w:eastAsia="仿宋_GB2312"/>
                <w:sz w:val="21"/>
              </w:rPr>
              <w:t>招标工程量清单中的项目特征只描述了完成此项工作的主要内容，各投标人在投标报价过程中应结合设计图纸、施工规范、行业标准、现场实际情况进行完整报价，充分考虑可能发生的措施费及其他所有费用，竣工结算时除合同另有约定外，施工过程中发生的不可预见费均不调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工程行业技术规范标准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合同工期： 30 日历天；工程质量：合格。</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资质要求及拟派项目负责人</w:t>
            </w:r>
          </w:p>
        </w:tc>
        <w:tc>
          <w:tcPr>
            <w:tcW w:type="dxa" w:w="3322"/>
          </w:tcPr>
          <w:p>
            <w:pPr>
              <w:pStyle w:val="null3"/>
            </w:pPr>
            <w:r>
              <w:rPr>
                <w:rFonts w:ascii="仿宋_GB2312" w:hAnsi="仿宋_GB2312" w:cs="仿宋_GB2312" w:eastAsia="仿宋_GB2312"/>
              </w:rPr>
              <w:t>供应商须具备建设行政主管部门核发的建筑工程施工总承包三级及以上资质等级，目具备有效的安全生产许可证，并在人员、设备、资金等方面具备相应的施工能力;供应商拟派项目负责人须具备建筑工程专业二级及以上注册建造师执业资格，并取得安全生产考核合格证书(建安B证)，且无在建工程，无不良记录。</w:t>
            </w:r>
          </w:p>
        </w:tc>
        <w:tc>
          <w:tcPr>
            <w:tcW w:type="dxa" w:w="1661"/>
          </w:tcPr>
          <w:p>
            <w:pPr>
              <w:pStyle w:val="null3"/>
            </w:pPr>
            <w:r>
              <w:rPr>
                <w:rFonts w:ascii="仿宋_GB2312" w:hAnsi="仿宋_GB2312" w:cs="仿宋_GB2312" w:eastAsia="仿宋_GB2312"/>
              </w:rPr>
              <w:t>项目实施人员配备.pdf 格式版项目负责人资格证明.docx 格式版企业资质证明.docx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1661"/>
          </w:tcPr>
          <w:p>
            <w:pPr>
              <w:pStyle w:val="null3"/>
            </w:pPr>
            <w:r>
              <w:rPr>
                <w:rFonts w:ascii="仿宋_GB2312" w:hAnsi="仿宋_GB2312" w:cs="仿宋_GB2312" w:eastAsia="仿宋_GB2312"/>
              </w:rPr>
              <w:t>格式版供应商主体资格证明.docx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格式版身份证明及授权委托书.docx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信用信息及资格承诺函</w:t>
            </w:r>
          </w:p>
        </w:tc>
        <w:tc>
          <w:tcPr>
            <w:tcW w:type="dxa" w:w="3322"/>
          </w:tcPr>
          <w:p>
            <w:pPr>
              <w:pStyle w:val="null3"/>
            </w:pPr>
            <w:r>
              <w:rPr>
                <w:rFonts w:ascii="仿宋_GB2312" w:hAnsi="仿宋_GB2312" w:cs="仿宋_GB2312" w:eastAsia="仿宋_GB2312"/>
              </w:rPr>
              <w:t>供应商须具有良好的商业信誉和健全的财务会计制度、具有履行合同所必需的设备和专业技术能力、具有依法缴纳税收和社会保障资金的良好记录，参加本项目采购活动前三年内“重大税。在经营活动中无重大违法活动记录，未列入在信用中国网站“失信被执行人"收违法案件当事人名单”中(www.creditchina.gov.cn)，未列入中国政府采购网“政府采购严重违法失信行为记录名单”中(www.ccgp.gov.cn)，供应商需提供加盖公章的《汉中市政府采购供应商资格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供应商资格证明承诺函.docx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格式版关联关系书面说明.docx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应满足磋商文件的要求</w:t>
            </w:r>
          </w:p>
        </w:tc>
        <w:tc>
          <w:tcPr>
            <w:tcW w:type="dxa" w:w="1661"/>
          </w:tcPr>
          <w:p>
            <w:pPr>
              <w:pStyle w:val="null3"/>
            </w:pPr>
            <w:r>
              <w:rPr>
                <w:rFonts w:ascii="仿宋_GB2312" w:hAnsi="仿宋_GB2312" w:cs="仿宋_GB2312" w:eastAsia="仿宋_GB2312"/>
              </w:rPr>
              <w:t>报价函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有法定代表人或授权委托人的签字或盖章并加盖投标供应商公章（供应商签字、盖章操作应严格遵照本磋商文件约定执行，文件起始部位或落款部位所有载明需供应商加盖印章的位置，公章须精准加盖于供应商全称标注处（或完整覆盖企业全称）。未按本款要求完成盖章操作的，其响应文件按无效响应处理。）</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项目实施人员配备.pdf 响应文件封面 格式版关联关系书面说明.docx 格式版供应商主体资格证明.docx 格式版身份证明及授权委托书.docx 残疾人福利性单位声明函 报价函 供应商类似项目业绩一览表 投标承诺书.docx 响应函 主要人员简历表 格式版企业资质证明.docx 格式版项目负责人资格证明.docx 监狱企业的证明文件 供应商资格证明承诺函.docx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其他响应内容</w:t>
            </w:r>
          </w:p>
        </w:tc>
        <w:tc>
          <w:tcPr>
            <w:tcW w:type="dxa" w:w="3322"/>
          </w:tcPr>
          <w:p>
            <w:pPr>
              <w:pStyle w:val="null3"/>
            </w:pPr>
            <w:r>
              <w:rPr>
                <w:rFonts w:ascii="仿宋_GB2312" w:hAnsi="仿宋_GB2312" w:cs="仿宋_GB2312" w:eastAsia="仿宋_GB2312"/>
              </w:rPr>
              <w:t>合同、商务等其他要求</w:t>
            </w:r>
          </w:p>
        </w:tc>
        <w:tc>
          <w:tcPr>
            <w:tcW w:type="dxa" w:w="1661"/>
          </w:tcPr>
          <w:p>
            <w:pPr>
              <w:pStyle w:val="null3"/>
            </w:pPr>
            <w:r>
              <w:rPr>
                <w:rFonts w:ascii="仿宋_GB2312" w:hAnsi="仿宋_GB2312" w:cs="仿宋_GB2312" w:eastAsia="仿宋_GB2312"/>
              </w:rPr>
              <w:t>技术服务合同条款及其他商务要求应答表 投标承诺书.docx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业绩5分</w:t>
            </w:r>
          </w:p>
        </w:tc>
        <w:tc>
          <w:tcPr>
            <w:tcW w:type="dxa" w:w="2492"/>
          </w:tcPr>
          <w:p>
            <w:pPr>
              <w:pStyle w:val="null3"/>
            </w:pPr>
            <w:r>
              <w:rPr>
                <w:rFonts w:ascii="仿宋_GB2312" w:hAnsi="仿宋_GB2312" w:cs="仿宋_GB2312" w:eastAsia="仿宋_GB2312"/>
              </w:rPr>
              <w:t>供应商2023年1月（以合同签订时间为准）至本项目磋商响应文件递交截止时间止完成过的类似项目业绩，每提供一个得2.5分，最高得5分。 注：业绩以加盖公章的合同协议书或中标通知书的复印件（或扫描件）为准。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项目部组成5分</w:t>
            </w:r>
          </w:p>
        </w:tc>
        <w:tc>
          <w:tcPr>
            <w:tcW w:type="dxa" w:w="2492"/>
          </w:tcPr>
          <w:p>
            <w:pPr>
              <w:pStyle w:val="null3"/>
            </w:pPr>
            <w:r>
              <w:rPr>
                <w:rFonts w:ascii="仿宋_GB2312" w:hAnsi="仿宋_GB2312" w:cs="仿宋_GB2312" w:eastAsia="仿宋_GB2312"/>
              </w:rPr>
              <w:t>机构设置及主要管理人员专业配置合理，齐全，符合本项目实际需求；（优5-4分，良3.9-2分，一般1.9-0分）；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项目实施人员配备.pdf</w:t>
            </w:r>
          </w:p>
        </w:tc>
      </w:tr>
      <w:tr>
        <w:tc>
          <w:tcPr>
            <w:tcW w:type="dxa" w:w="831"/>
            <w:vMerge/>
          </w:tcPr>
          <w:p/>
        </w:tc>
        <w:tc>
          <w:tcPr>
            <w:tcW w:type="dxa" w:w="1661"/>
          </w:tcPr>
          <w:p>
            <w:pPr>
              <w:pStyle w:val="null3"/>
            </w:pPr>
            <w:r>
              <w:rPr>
                <w:rFonts w:ascii="仿宋_GB2312" w:hAnsi="仿宋_GB2312" w:cs="仿宋_GB2312" w:eastAsia="仿宋_GB2312"/>
              </w:rPr>
              <w:t>施工方案20分</w:t>
            </w:r>
          </w:p>
        </w:tc>
        <w:tc>
          <w:tcPr>
            <w:tcW w:type="dxa" w:w="2492"/>
          </w:tcPr>
          <w:p>
            <w:pPr>
              <w:pStyle w:val="null3"/>
            </w:pPr>
            <w:r>
              <w:rPr>
                <w:rFonts w:ascii="仿宋_GB2312" w:hAnsi="仿宋_GB2312" w:cs="仿宋_GB2312" w:eastAsia="仿宋_GB2312"/>
              </w:rPr>
              <w:t>针对本项目提供科学、可行、合理的施工方案；（优20-12分，良11-5分，一般4-0分）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格式版技术响应方案.docx</w:t>
            </w:r>
          </w:p>
        </w:tc>
      </w:tr>
      <w:tr>
        <w:tc>
          <w:tcPr>
            <w:tcW w:type="dxa" w:w="831"/>
            <w:vMerge/>
          </w:tcPr>
          <w:p/>
        </w:tc>
        <w:tc>
          <w:tcPr>
            <w:tcW w:type="dxa" w:w="1661"/>
          </w:tcPr>
          <w:p>
            <w:pPr>
              <w:pStyle w:val="null3"/>
            </w:pPr>
            <w:r>
              <w:rPr>
                <w:rFonts w:ascii="仿宋_GB2312" w:hAnsi="仿宋_GB2312" w:cs="仿宋_GB2312" w:eastAsia="仿宋_GB2312"/>
              </w:rPr>
              <w:t>施工质量保证措施10分</w:t>
            </w:r>
          </w:p>
        </w:tc>
        <w:tc>
          <w:tcPr>
            <w:tcW w:type="dxa" w:w="2492"/>
          </w:tcPr>
          <w:p>
            <w:pPr>
              <w:pStyle w:val="null3"/>
            </w:pPr>
            <w:r>
              <w:rPr>
                <w:rFonts w:ascii="仿宋_GB2312" w:hAnsi="仿宋_GB2312" w:cs="仿宋_GB2312" w:eastAsia="仿宋_GB2312"/>
              </w:rPr>
              <w:t>措施科学、合理、可行；（优10-7.1分，良7-4.1分，一般4-1分），不提供不得分。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格式版技术响应方案.docx</w:t>
            </w:r>
          </w:p>
        </w:tc>
      </w:tr>
      <w:tr>
        <w:tc>
          <w:tcPr>
            <w:tcW w:type="dxa" w:w="831"/>
            <w:vMerge/>
          </w:tcPr>
          <w:p/>
        </w:tc>
        <w:tc>
          <w:tcPr>
            <w:tcW w:type="dxa" w:w="1661"/>
          </w:tcPr>
          <w:p>
            <w:pPr>
              <w:pStyle w:val="null3"/>
            </w:pPr>
            <w:r>
              <w:rPr>
                <w:rFonts w:ascii="仿宋_GB2312" w:hAnsi="仿宋_GB2312" w:cs="仿宋_GB2312" w:eastAsia="仿宋_GB2312"/>
              </w:rPr>
              <w:t>施工安全保证措施10分</w:t>
            </w:r>
          </w:p>
        </w:tc>
        <w:tc>
          <w:tcPr>
            <w:tcW w:type="dxa" w:w="2492"/>
          </w:tcPr>
          <w:p>
            <w:pPr>
              <w:pStyle w:val="null3"/>
            </w:pPr>
            <w:r>
              <w:rPr>
                <w:rFonts w:ascii="仿宋_GB2312" w:hAnsi="仿宋_GB2312" w:cs="仿宋_GB2312" w:eastAsia="仿宋_GB2312"/>
              </w:rPr>
              <w:t>措施科学、合理、可行；（优10-7.1分，良7-4.1分，一般4-1分），不提供不得分。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格式版技术响应方案.docx</w:t>
            </w:r>
          </w:p>
        </w:tc>
      </w:tr>
      <w:tr>
        <w:tc>
          <w:tcPr>
            <w:tcW w:type="dxa" w:w="831"/>
            <w:vMerge/>
          </w:tcPr>
          <w:p/>
        </w:tc>
        <w:tc>
          <w:tcPr>
            <w:tcW w:type="dxa" w:w="1661"/>
          </w:tcPr>
          <w:p>
            <w:pPr>
              <w:pStyle w:val="null3"/>
            </w:pPr>
            <w:r>
              <w:rPr>
                <w:rFonts w:ascii="仿宋_GB2312" w:hAnsi="仿宋_GB2312" w:cs="仿宋_GB2312" w:eastAsia="仿宋_GB2312"/>
              </w:rPr>
              <w:t>施工进度计划及工期保证措施10分</w:t>
            </w:r>
          </w:p>
        </w:tc>
        <w:tc>
          <w:tcPr>
            <w:tcW w:type="dxa" w:w="2492"/>
          </w:tcPr>
          <w:p>
            <w:pPr>
              <w:pStyle w:val="null3"/>
            </w:pPr>
            <w:r>
              <w:rPr>
                <w:rFonts w:ascii="仿宋_GB2312" w:hAnsi="仿宋_GB2312" w:cs="仿宋_GB2312" w:eastAsia="仿宋_GB2312"/>
              </w:rPr>
              <w:t>措施科学、合理、可行；（优10-7.1分，良7-4.1分，一般4-1分），不提供不得分。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格式版技术响应方案.docx</w:t>
            </w:r>
          </w:p>
        </w:tc>
      </w:tr>
      <w:tr>
        <w:tc>
          <w:tcPr>
            <w:tcW w:type="dxa" w:w="831"/>
            <w:vMerge/>
          </w:tcPr>
          <w:p/>
        </w:tc>
        <w:tc>
          <w:tcPr>
            <w:tcW w:type="dxa" w:w="1661"/>
          </w:tcPr>
          <w:p>
            <w:pPr>
              <w:pStyle w:val="null3"/>
            </w:pPr>
            <w:r>
              <w:rPr>
                <w:rFonts w:ascii="仿宋_GB2312" w:hAnsi="仿宋_GB2312" w:cs="仿宋_GB2312" w:eastAsia="仿宋_GB2312"/>
              </w:rPr>
              <w:t>文明施工及环境保护措施10分</w:t>
            </w:r>
          </w:p>
        </w:tc>
        <w:tc>
          <w:tcPr>
            <w:tcW w:type="dxa" w:w="2492"/>
          </w:tcPr>
          <w:p>
            <w:pPr>
              <w:pStyle w:val="null3"/>
            </w:pPr>
            <w:r>
              <w:rPr>
                <w:rFonts w:ascii="仿宋_GB2312" w:hAnsi="仿宋_GB2312" w:cs="仿宋_GB2312" w:eastAsia="仿宋_GB2312"/>
              </w:rPr>
              <w:t>措施科学、合理、可行；（优10-7.1分，良7-4.1分，一般4-1分），不提供不得分。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格式版技术响应方案.docx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详见附件：项目实施人员配备.pdf</w:t>
      </w:r>
    </w:p>
    <w:p>
      <w:pPr>
        <w:pStyle w:val="null3"/>
        <w:ind w:firstLine="960"/>
      </w:pPr>
      <w:r>
        <w:rPr>
          <w:rFonts w:ascii="仿宋_GB2312" w:hAnsi="仿宋_GB2312" w:cs="仿宋_GB2312" w:eastAsia="仿宋_GB2312"/>
        </w:rPr>
        <w:t>详见附件：格式版供应商主体资格证明.docx</w:t>
      </w:r>
    </w:p>
    <w:p>
      <w:pPr>
        <w:pStyle w:val="null3"/>
        <w:ind w:firstLine="960"/>
      </w:pPr>
      <w:r>
        <w:rPr>
          <w:rFonts w:ascii="仿宋_GB2312" w:hAnsi="仿宋_GB2312" w:cs="仿宋_GB2312" w:eastAsia="仿宋_GB2312"/>
        </w:rPr>
        <w:t>详见附件：格式版技术响应方案.docx</w:t>
      </w:r>
    </w:p>
    <w:p>
      <w:pPr>
        <w:pStyle w:val="null3"/>
        <w:ind w:firstLine="960"/>
      </w:pPr>
      <w:r>
        <w:rPr>
          <w:rFonts w:ascii="仿宋_GB2312" w:hAnsi="仿宋_GB2312" w:cs="仿宋_GB2312" w:eastAsia="仿宋_GB2312"/>
        </w:rPr>
        <w:t>详见附件：格式版企业资质证明.docx</w:t>
      </w:r>
    </w:p>
    <w:p>
      <w:pPr>
        <w:pStyle w:val="null3"/>
        <w:ind w:firstLine="960"/>
      </w:pPr>
      <w:r>
        <w:rPr>
          <w:rFonts w:ascii="仿宋_GB2312" w:hAnsi="仿宋_GB2312" w:cs="仿宋_GB2312" w:eastAsia="仿宋_GB2312"/>
        </w:rPr>
        <w:t>详见附件：格式版身份证明及授权委托书.docx</w:t>
      </w:r>
    </w:p>
    <w:p>
      <w:pPr>
        <w:pStyle w:val="null3"/>
        <w:ind w:firstLine="960"/>
      </w:pPr>
      <w:r>
        <w:rPr>
          <w:rFonts w:ascii="仿宋_GB2312" w:hAnsi="仿宋_GB2312" w:cs="仿宋_GB2312" w:eastAsia="仿宋_GB2312"/>
        </w:rPr>
        <w:t>详见附件：格式版项目负责人资格证明.docx</w:t>
      </w:r>
    </w:p>
    <w:p>
      <w:pPr>
        <w:pStyle w:val="null3"/>
        <w:ind w:firstLine="960"/>
      </w:pPr>
      <w:r>
        <w:rPr>
          <w:rFonts w:ascii="仿宋_GB2312" w:hAnsi="仿宋_GB2312" w:cs="仿宋_GB2312" w:eastAsia="仿宋_GB2312"/>
        </w:rPr>
        <w:t>详见附件：供应商资格证明承诺函.docx</w:t>
      </w:r>
    </w:p>
    <w:p>
      <w:pPr>
        <w:pStyle w:val="null3"/>
        <w:ind w:firstLine="960"/>
      </w:pPr>
      <w:r>
        <w:rPr>
          <w:rFonts w:ascii="仿宋_GB2312" w:hAnsi="仿宋_GB2312" w:cs="仿宋_GB2312" w:eastAsia="仿宋_GB2312"/>
        </w:rPr>
        <w:t>详见附件：格式版关联关系书面说明.docx</w:t>
      </w:r>
    </w:p>
    <w:p>
      <w:pPr>
        <w:pStyle w:val="null3"/>
        <w:ind w:firstLine="960"/>
      </w:pPr>
      <w:r>
        <w:rPr>
          <w:rFonts w:ascii="仿宋_GB2312" w:hAnsi="仿宋_GB2312" w:cs="仿宋_GB2312" w:eastAsia="仿宋_GB2312"/>
        </w:rPr>
        <w:t>详见附件：投标承诺书.docx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详见附件：参考版合同条款.docx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