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版本号：HXTC-ZFCG-南郑区-2026012320260122001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汉中市南郑区中小学幼儿园校园消防能力提升项目（协税镇中心小学）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HXTC-ZFCG-南郑区-20260123</w:t>
      </w:r>
      <w:r>
        <w:br/>
      </w:r>
      <w:r>
        <w:br/>
      </w:r>
      <w:r>
        <w:br/>
      </w:r>
    </w:p>
    <w:p>
      <w:pPr>
        <w:pStyle w:val="null3"/>
        <w:jc w:val="center"/>
        <w:outlineLvl w:val="2"/>
      </w:pPr>
      <w:r>
        <w:rPr>
          <w:rFonts w:ascii="仿宋_GB2312" w:hAnsi="仿宋_GB2312" w:cs="仿宋_GB2312" w:eastAsia="仿宋_GB2312"/>
          <w:sz w:val="28"/>
          <w:b/>
        </w:rPr>
        <w:t>汉中市南郑区协税镇中心小学</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汉中市南郑区中小学幼儿园校园消防能力提升项目（协税镇中心小学）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汉中市南郑区中小学幼儿园校园消防能力提升项目（协税镇中心小学）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为汉中市南郑区中小学幼儿园校园消防能力提升项目（协税镇中心小学），主要包含：中心小学消防整改、幼儿园消防整改。其中：中心小学消防整改：增加应急照明、疏散指示、消防卷盘、安全出口灯具；幼儿园整改：增加消防自动喷水灭火系统、增加消防控制室及消防水池一处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采购包1（汉中市南郑区中小学幼儿园校园消防能力提升项目（协税镇中心小学））：属于专门面向中小企业采购。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汉中市南郑区协税镇中心小学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陕西省汉中市南郑区协税镇协税村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汉中市南郑区协税镇中心小学经办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0916-5695432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汉中市南郑区协税镇中心小学</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汉中市南郑区协税镇中心小学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汉中市南郑区协税镇中心小学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975,600.00</w:t>
      </w:r>
    </w:p>
    <w:p>
      <w:pPr>
        <w:pStyle w:val="null3"/>
      </w:pPr>
      <w:r>
        <w:rPr>
          <w:rFonts w:ascii="仿宋_GB2312" w:hAnsi="仿宋_GB2312" w:cs="仿宋_GB2312" w:eastAsia="仿宋_GB2312"/>
        </w:rPr>
        <w:t>采购包最高限价（元）: 975,119.83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校园消防能力提升项目（协税镇中心小学）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975,600.00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标的名称：校园消防能力提升项目（协税镇中心小学）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工程概况：该工程为汉中市南郑区中小学幼儿园校园消防能力提升项目（协税镇中心小学），主要包含：中心小学消防整改、幼儿园消防整改。其中：中心小学消防整改：增加应急照明、疏散指示、消防卷盘、安全出口灯具；幼儿园整改：增加消防自动喷水灭火系统、增加消防控制室及消防水池一处等内容。</w:t>
            </w:r>
          </w:p>
          <w:p>
            <w:pPr>
              <w:pStyle w:val="null3"/>
              <w:jc w:val="left"/>
            </w:pPr>
            <w:r>
              <w:rPr>
                <w:rFonts w:ascii="仿宋_GB2312" w:hAnsi="仿宋_GB2312" w:cs="仿宋_GB2312" w:eastAsia="仿宋_GB2312"/>
                <w:sz w:val="21"/>
              </w:rPr>
              <w:t>2、施工范围：本项目施工图纸及工程量清单范围内全部工程内容。</w:t>
            </w:r>
          </w:p>
          <w:p>
            <w:pPr>
              <w:pStyle w:val="null3"/>
              <w:jc w:val="left"/>
            </w:pPr>
            <w:r>
              <w:rPr>
                <w:rFonts w:ascii="仿宋_GB2312" w:hAnsi="仿宋_GB2312" w:cs="仿宋_GB2312" w:eastAsia="仿宋_GB2312"/>
                <w:sz w:val="21"/>
              </w:rPr>
              <w:t>3、施工地点：位于陕西省汉中市南郑区协税镇中心小学院内。</w:t>
            </w:r>
          </w:p>
          <w:p>
            <w:pPr>
              <w:pStyle w:val="null3"/>
              <w:jc w:val="left"/>
            </w:pPr>
            <w:r>
              <w:rPr>
                <w:rFonts w:ascii="仿宋_GB2312" w:hAnsi="仿宋_GB2312" w:cs="仿宋_GB2312" w:eastAsia="仿宋_GB2312"/>
                <w:sz w:val="21"/>
              </w:rPr>
              <w:t>4、计划工期（合同履行期限）：合同签订后45日历天（具体服务起止日期可随合同签订时间相应顺延）。</w:t>
            </w:r>
          </w:p>
          <w:p>
            <w:pPr>
              <w:pStyle w:val="null3"/>
              <w:jc w:val="left"/>
            </w:pPr>
            <w:r>
              <w:rPr>
                <w:rFonts w:ascii="仿宋_GB2312" w:hAnsi="仿宋_GB2312" w:cs="仿宋_GB2312" w:eastAsia="仿宋_GB2312"/>
                <w:sz w:val="21"/>
              </w:rPr>
              <w:t>5、工程质量要求：交工验收的质量评定：合格；竣工验收的质量评定：合格；质量达到学校消防建设合格标准，并满足国家相关标准、规范及有关技术文件要求。</w:t>
            </w:r>
          </w:p>
          <w:p>
            <w:pPr>
              <w:pStyle w:val="null3"/>
              <w:jc w:val="left"/>
            </w:pPr>
            <w:r>
              <w:rPr>
                <w:rFonts w:ascii="仿宋_GB2312" w:hAnsi="仿宋_GB2312" w:cs="仿宋_GB2312" w:eastAsia="仿宋_GB2312"/>
                <w:sz w:val="21"/>
              </w:rPr>
              <w:t>6、安全目标：无安全责任事故发生。</w:t>
            </w:r>
          </w:p>
          <w:p>
            <w:pPr>
              <w:pStyle w:val="null3"/>
            </w:pPr>
            <w:r>
              <w:rPr>
                <w:rFonts w:ascii="仿宋_GB2312" w:hAnsi="仿宋_GB2312" w:cs="仿宋_GB2312" w:eastAsia="仿宋_GB2312"/>
                <w:sz w:val="21"/>
              </w:rPr>
              <w:t>7、工程质量保修期：二年。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质量达到学校消防建设合格标准，并满足国家相关行业技术规范标准及有关技术文件要求。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协税镇中心小学）施工图纸及设计文件等；（2）《陕西省工程建设标准之建设工程工程量清单计价标准》（2025）；（3）《陕西省工程建设标准之工程量计算标准》（2025）；（4）《陕西省建设工程费用规则（2025）》。 2、有关问题说明：（1）本项目混凝土按商品混凝土编制计算；（2）本项目砂浆按现场搅拌砂浆编制计算；（3）余土外运暂按5km计算；（4）预留暂列金50000.00元。 3、本工程量清单采用广联达云计价平台GCCP7.0版本编制。 4、本项目最高限价：本项目设有最高限价：¥：975,119.83元；（大写：玖拾柒万伍仟壹佰壹拾玖元捌角叁分）。供应商的磋商响应报价超过最高限价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协税镇中心小学）；（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如应急照明、疏散指示、安全出口灯具、室外消火栓、消防水池等的安装与整改细节等）（4分）；②施工次序，确保消防工程优先施工（4分）；③施工方法（工艺）符合消防工程专业标准（4分）；④成品保护措施，重点针对消防设备（包含但不限于防潮、防损措施等）（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确保工期的技术组织措施，内容结合本项目工期要求及施工地点位于学校的特殊环境，包含但不限于：①施工组织与工期保证措施，制定紧凑的进度计划（2分）；②特殊情况保证：夜间、雨雪、低温等条件下的施工安排，适应学校的特殊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附件2：综合评分明细表：②确保工期的技术组织措施.docx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应结合工程概况（如施工内容多样、工期紧、学校环境等），包含但不限于：①劳动力投入计划：根据本项目施工内容及工期要求，制定详细的工种需求计划（如电工、管道工、焊工等）及时间安排，确保与消防工程专业匹配（2分）；②劳务分包情况：如有分包，需明确分包范围、资质审核及管理措施，确保符合消防工程标准（2分）；③ 劳动力保障措施：包括人员培训、安全防护、生活保障等，适应学校施工环境（2分）。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附件3：综合评分明细表：③劳动力安排计划及劳务分包情况.docx</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针对消防系统提供具体的调试、验收配合及移交培训方案（2分）；②质保承诺：提供明确的质保期（不少于2年）内的专项保障措施，如定期巡检计划、故障应急响应时间、主要消防设备的备品备件供应方案等（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⑤确保工程质量的技术组织措施；</w:t>
            </w:r>
          </w:p>
        </w:tc>
        <w:tc>
          <w:tcPr>
            <w:tcW w:type="dxa" w:w="2492"/>
          </w:tcPr>
          <w:p>
            <w:pPr>
              <w:pStyle w:val="null3"/>
            </w:pPr>
            <w:r>
              <w:rPr>
                <w:rFonts w:ascii="仿宋_GB2312" w:hAnsi="仿宋_GB2312" w:cs="仿宋_GB2312" w:eastAsia="仿宋_GB2312"/>
              </w:rPr>
              <w:t>供应商针对本项目编制完善的工程质量技术组织措施，内容包含但不限于：①质量目标与管理体系：明确质量目标，并建立针对消防设施工程的质量管理体系和岗位责任制度（2分）；②施工质量的检验制度：制定详细的、符合国家消防工程规范的质量检验流程与标准（2分）；③关键技术措施：针对本项目具体内容提出确保质量的技术措施（2分）；④材料设备管理方案：制定从采购、进场、储存到使用的全过程管理措施，确保所有材料设备符合设计及国家消防产品标准，并适应学校环境的耐久性要求（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⑥确保文明施工的技术组织措施及环境保护措施；</w:t>
            </w:r>
          </w:p>
        </w:tc>
        <w:tc>
          <w:tcPr>
            <w:tcW w:type="dxa" w:w="2492"/>
          </w:tcPr>
          <w:p>
            <w:pPr>
              <w:pStyle w:val="null3"/>
            </w:pPr>
            <w:r>
              <w:rPr>
                <w:rFonts w:ascii="仿宋_GB2312" w:hAnsi="仿宋_GB2312" w:cs="仿宋_GB2312" w:eastAsia="仿宋_GB2312"/>
              </w:rPr>
              <w:t>供应商针对本项目编制完善的文明施工及环境保护措施，内容需充分考虑施工地点位于学校园区的特殊性，包含但不限于：①文明施工管理（1分）；②校园适应性保障措施（1分）；③环境保护管理体系：建立环境保护责任制度，明确施工过程中的环保要求（1分）；④专项环保控制措施：制定针对性的扬尘控制、噪音控制、建筑垃圾与废弃物的分类、收集及合规处理方案（1分）。 1.评审标准：①内容全面详细，且条理清晰、准确、措施合理具体；②内容能够紧扣项目实际情况，内容清晰、合理。 2.赋分标准：各项评审内容每满足一条评审标准得0.5分，未提供相关内容的不计分。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附件6：综合评分明细表：⑥确保文明施工的技术组织措施及环境保护措施.docx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⑦确保安全生产的技术组织措施；</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①安全管理体系与责任体系（2分）；②校园专项安全防护措施（2分）；③现场安全标识与个人防护（2分）；④安全教育培训与交底（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附件7：综合评分明细表：⑦确保安全生产的技术组织措施.docx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⑧施工机械及材料投入计划；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附件8：综合评分明细表：⑧施工机械及材料投入计划.docx</w:t>
            </w:r>
          </w:p>
        </w:tc>
      </w:tr>
      <w:tr>
        <w:tc>
          <w:tcPr>
            <w:tcW w:type="dxa" w:w="831"/>
            <w:vMerge/>
          </w:tcPr>
          <w:p/>
        </w:tc>
        <w:tc>
          <w:tcPr>
            <w:tcW w:type="dxa" w:w="1661"/>
          </w:tcPr>
          <w:p>
            <w:pPr>
              <w:pStyle w:val="null3"/>
            </w:pPr>
            <w:r>
              <w:rPr>
                <w:rFonts w:ascii="仿宋_GB2312" w:hAnsi="仿宋_GB2312" w:cs="仿宋_GB2312" w:eastAsia="仿宋_GB2312"/>
              </w:rPr>
              <w:t>⑨施工进度网络图或施工进度表；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供应商针对本项目编制完善的施工进度网络图或施工进度表，内容包含但不限于：①施工总进度：施工进度目标和施工总进度计划表/图（2分）；②施工进度保障措施（2分）。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附件9：综合评分明细表：⑨施工进度网络图或施工进度表.docx</w:t>
            </w:r>
          </w:p>
        </w:tc>
      </w:tr>
      <w:tr>
        <w:tc>
          <w:tcPr>
            <w:tcW w:type="dxa" w:w="831"/>
            <w:vMerge/>
          </w:tcPr>
          <w:p/>
        </w:tc>
        <w:tc>
          <w:tcPr>
            <w:tcW w:type="dxa" w:w="1661"/>
          </w:tcPr>
          <w:p>
            <w:pPr>
              <w:pStyle w:val="null3"/>
            </w:pPr>
            <w:r>
              <w:rPr>
                <w:rFonts w:ascii="仿宋_GB2312" w:hAnsi="仿宋_GB2312" w:cs="仿宋_GB2312" w:eastAsia="仿宋_GB2312"/>
              </w:rPr>
              <w:t>⑩项目管理与组织实施能力；</w:t>
            </w:r>
          </w:p>
        </w:tc>
        <w:tc>
          <w:tcPr>
            <w:tcW w:type="dxa" w:w="2492"/>
          </w:tcPr>
          <w:p>
            <w:pPr>
              <w:pStyle w:val="null3"/>
            </w:pPr>
            <w:r>
              <w:rPr>
                <w:rFonts w:ascii="仿宋_GB2312" w:hAnsi="仿宋_GB2312" w:cs="仿宋_GB2312" w:eastAsia="仿宋_GB2312"/>
              </w:rPr>
              <w:t>供应商针对本项目编制完善的项目管理与组织实施方案，内容应结合项目规模、工期紧、学校环境等特点，包含但不限于：①项目团队配置与专业匹配度：明确项目团队组成，并说明各岗位人员的专业资质（如机电工程、消防工程等）与项目需求（消防设施安装等）的匹配情况（2分）；②项目实施协调与保障机制：包括内部沟通机制、与学校方（如后勤部门、安全管理部门）的协调措施、应对工期要求的进度管控方案等（2分）；③校园环境适应性管理措施：针对学校场所（如避免干扰教学、学生安全防护、施工时间安排等）制定的专项管理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附件10：综合评分明细表：⑩项目管理与组织实施能力.docx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⑪类似业绩；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附件11：综合评分明细表：⑪类似业绩.docx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详见附件：附件5：综合评分明细表：⑤确保工程质量的技术组织措施.docx</w:t>
      </w:r>
    </w:p>
    <w:p>
      <w:pPr>
        <w:pStyle w:val="null3"/>
        <w:ind w:firstLine="960"/>
      </w:pPr>
      <w:r>
        <w:rPr>
          <w:rFonts w:ascii="仿宋_GB2312" w:hAnsi="仿宋_GB2312" w:cs="仿宋_GB2312" w:eastAsia="仿宋_GB2312"/>
        </w:rPr>
        <w:t>详见附件：附件6：综合评分明细表：⑥确保文明施工的技术组织措施及环境保护措施.docx</w:t>
      </w:r>
    </w:p>
    <w:p>
      <w:pPr>
        <w:pStyle w:val="null3"/>
        <w:ind w:firstLine="960"/>
      </w:pPr>
      <w:r>
        <w:rPr>
          <w:rFonts w:ascii="仿宋_GB2312" w:hAnsi="仿宋_GB2312" w:cs="仿宋_GB2312" w:eastAsia="仿宋_GB2312"/>
        </w:rPr>
        <w:t>详见附件：附件7：综合评分明细表：⑦确保安全生产的技术组织措施.docx</w:t>
      </w:r>
    </w:p>
    <w:p>
      <w:pPr>
        <w:pStyle w:val="null3"/>
        <w:ind w:firstLine="960"/>
      </w:pPr>
      <w:r>
        <w:rPr>
          <w:rFonts w:ascii="仿宋_GB2312" w:hAnsi="仿宋_GB2312" w:cs="仿宋_GB2312" w:eastAsia="仿宋_GB2312"/>
        </w:rPr>
        <w:t>详见附件：附件8：综合评分明细表：⑧施工机械及材料投入计划.docx</w:t>
      </w:r>
    </w:p>
    <w:p>
      <w:pPr>
        <w:pStyle w:val="null3"/>
        <w:ind w:firstLine="960"/>
      </w:pPr>
      <w:r>
        <w:rPr>
          <w:rFonts w:ascii="仿宋_GB2312" w:hAnsi="仿宋_GB2312" w:cs="仿宋_GB2312" w:eastAsia="仿宋_GB2312"/>
        </w:rPr>
        <w:t>详见附件：附件9：综合评分明细表：⑨施工进度网络图或施工进度表.docx</w:t>
      </w:r>
    </w:p>
    <w:p>
      <w:pPr>
        <w:pStyle w:val="null3"/>
        <w:ind w:firstLine="960"/>
      </w:pPr>
      <w:r>
        <w:rPr>
          <w:rFonts w:ascii="仿宋_GB2312" w:hAnsi="仿宋_GB2312" w:cs="仿宋_GB2312" w:eastAsia="仿宋_GB2312"/>
        </w:rPr>
        <w:t>详见附件：附件10：综合评分明细表：⑩项目管理与组织实施能力.docx</w:t>
      </w:r>
    </w:p>
    <w:p>
      <w:pPr>
        <w:pStyle w:val="null3"/>
        <w:ind w:firstLine="960"/>
      </w:pPr>
      <w:r>
        <w:rPr>
          <w:rFonts w:ascii="仿宋_GB2312" w:hAnsi="仿宋_GB2312" w:cs="仿宋_GB2312" w:eastAsia="仿宋_GB2312"/>
        </w:rPr>
        <w:t>详见附件：附件11：综合评分明细表：⑪类似业绩.docx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