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版本号：政采-南郑县-2026-0002620260122001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汉中市南郑区中小学幼儿园校园消防能力提升项目(法镇九年制学校)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政采-南郑县-2026-00026</w:t>
      </w:r>
      <w:r>
        <w:br/>
      </w:r>
      <w:r>
        <w:br/>
      </w:r>
      <w:r>
        <w:br/>
      </w:r>
    </w:p>
    <w:p>
      <w:pPr>
        <w:pStyle w:val="null3"/>
        <w:jc w:val="center"/>
        <w:outlineLvl w:val="2"/>
      </w:pPr>
      <w:r>
        <w:rPr>
          <w:rFonts w:ascii="仿宋_GB2312" w:hAnsi="仿宋_GB2312" w:cs="仿宋_GB2312" w:eastAsia="仿宋_GB2312"/>
          <w:sz w:val="28"/>
          <w:b/>
        </w:rPr>
        <w:t>汉中市南郑区法镇九年制学校</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汉中市南郑区法镇九年制学校</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汉中市南郑区中小学幼儿园校园消防能力提升项目(法镇九年制学校)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政采-南郑县-2026-00026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汉中市南郑区中小学幼儿园校园消防能力提升项目(法镇九年制学校)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法镇九年制学校校园消防整改项目位于汉中市南郑区法镇九年制学校，主要建设内容为：新建消防水池及泵房，建筑面积186平方米，室外消火栓，室外电气，火灾报警系统，九年制学校、兴隆小学幼儿园增加消防设施，餐厅改造，水源井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采购包1（汉中市南郑区中小学幼儿园校园消防能力提升项目(法镇九年制学校)）：属于专门面向中小企业采购。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供应商需提供法定代表人（或委托代理人）身份证明及授权委托书：供应商需提供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3、供应商资质要求：供应商须具备建设行政主管部门核发的消防设施工程专业承包二级（含二级）及以上资质等级，且具有合格有效的安全生产许可证。</w:t>
      </w:r>
    </w:p>
    <w:p>
      <w:pPr>
        <w:pStyle w:val="null3"/>
      </w:pPr>
      <w:r>
        <w:rPr>
          <w:rFonts w:ascii="仿宋_GB2312" w:hAnsi="仿宋_GB2312" w:cs="仿宋_GB2312" w:eastAsia="仿宋_GB2312"/>
        </w:rPr>
        <w:t>4、拟派项目负责人资质及专业要求：供应商须具备建设行政主管部门核发的机电工程专业二级（含二级）及以上注册建造师执业资格，并取得（B类）安全生产考核合格证书，无不良记录，无在建工程(提供无在建承诺书)。</w:t>
      </w:r>
    </w:p>
    <w:p>
      <w:pPr>
        <w:pStyle w:val="null3"/>
      </w:pPr>
      <w:r>
        <w:rPr>
          <w:rFonts w:ascii="仿宋_GB2312" w:hAnsi="仿宋_GB2312" w:cs="仿宋_GB2312" w:eastAsia="仿宋_GB2312"/>
        </w:rPr>
        <w:t>5、供应商须提供《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p>
      <w:pPr>
        <w:pStyle w:val="null3"/>
      </w:pPr>
      <w:r>
        <w:rPr>
          <w:rFonts w:ascii="仿宋_GB2312" w:hAnsi="仿宋_GB2312" w:cs="仿宋_GB2312" w:eastAsia="仿宋_GB2312"/>
        </w:rPr>
        <w:t>6、本项目不接受联合体磋商：提供非联合体声明磋商承诺。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汉中市南郑区法镇九年制学校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汉中市南郑区法镇九年制学校</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南郑县法镇九年制学校经办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15909165024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陕西省汉中市南郑区大河坎镇电商产业园3号馆3-3室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0916-5309066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采购包1：1,170,140.90元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开户名称：中轩项目管理有限公司汉中分公司</w:t>
            </w:r>
          </w:p>
          <w:p>
            <w:pPr>
              <w:pStyle w:val="null3"/>
            </w:pPr>
            <w:r>
              <w:rPr>
                <w:rFonts w:ascii="仿宋_GB2312" w:hAnsi="仿宋_GB2312" w:cs="仿宋_GB2312" w:eastAsia="仿宋_GB2312"/>
              </w:rPr>
              <w:t>开户银行：交通银行汉中分行营业部</w:t>
            </w:r>
          </w:p>
          <w:p>
            <w:pPr>
              <w:pStyle w:val="null3"/>
            </w:pPr>
            <w:r>
              <w:rPr>
                <w:rFonts w:ascii="仿宋_GB2312" w:hAnsi="仿宋_GB2312" w:cs="仿宋_GB2312" w:eastAsia="仿宋_GB2312"/>
              </w:rPr>
              <w:t>银行账号：617899991010003106857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汉中市南郑区法镇九年制学校</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汉中市南郑区法镇九年制学校</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汉中市南郑区法镇九年制学校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采购的设备符合最新国家消防产品认证标准，施工符合国家现行建设标准，能安全、环保、文明施工，自觉履行合同约定，所有设施设备满足寄宿制学校消防安全要求。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联系电话：0916-5309066</w:t>
      </w:r>
    </w:p>
    <w:p>
      <w:pPr>
        <w:pStyle w:val="null3"/>
      </w:pPr>
      <w:r>
        <w:rPr>
          <w:rFonts w:ascii="仿宋_GB2312" w:hAnsi="仿宋_GB2312" w:cs="仿宋_GB2312" w:eastAsia="仿宋_GB2312"/>
        </w:rPr>
        <w:t>地址：陕西省汉中市南郑区大河坎镇电商产业园3号馆3-3室</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1,170,140.90</w:t>
      </w:r>
    </w:p>
    <w:p>
      <w:pPr>
        <w:pStyle w:val="null3"/>
      </w:pPr>
      <w:r>
        <w:rPr>
          <w:rFonts w:ascii="仿宋_GB2312" w:hAnsi="仿宋_GB2312" w:cs="仿宋_GB2312" w:eastAsia="仿宋_GB2312"/>
        </w:rPr>
        <w:t>采购包最高限价（元）: 1,170,140.90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汉中市南郑区中小学幼儿园校园消防能力提升项目(法镇九年制学校)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1,170,140.90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标的名称：汉中市南郑区中小学幼儿园校园消防能力提升项目(法镇九年制学校)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360" w:firstLine="643"/>
              <w:jc w:val="center"/>
            </w:pPr>
            <w:r>
              <w:rPr>
                <w:rFonts w:ascii="仿宋_GB2312" w:hAnsi="仿宋_GB2312" w:cs="仿宋_GB2312" w:eastAsia="仿宋_GB2312"/>
                <w:sz w:val="32"/>
                <w:b/>
              </w:rPr>
              <w:t>汉中市南郑区法镇九年制学校校园消防整改项目招标</w:t>
            </w:r>
          </w:p>
          <w:p>
            <w:pPr>
              <w:pStyle w:val="null3"/>
              <w:ind w:right="360" w:firstLine="643"/>
              <w:jc w:val="center"/>
            </w:pPr>
            <w:r>
              <w:rPr>
                <w:rFonts w:ascii="仿宋_GB2312" w:hAnsi="仿宋_GB2312" w:cs="仿宋_GB2312" w:eastAsia="仿宋_GB2312"/>
                <w:sz w:val="32"/>
                <w:b/>
              </w:rPr>
              <w:t>工程量清单</w:t>
            </w:r>
            <w:r>
              <w:rPr>
                <w:rFonts w:ascii="仿宋_GB2312" w:hAnsi="仿宋_GB2312" w:cs="仿宋_GB2312" w:eastAsia="仿宋_GB2312"/>
                <w:sz w:val="32"/>
                <w:b/>
              </w:rPr>
              <w:t>编制说明</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工程概况</w:t>
            </w:r>
          </w:p>
          <w:p>
            <w:pPr>
              <w:pStyle w:val="null3"/>
              <w:ind w:firstLine="480"/>
              <w:jc w:val="both"/>
            </w:pPr>
            <w:r>
              <w:rPr>
                <w:rFonts w:ascii="仿宋_GB2312" w:hAnsi="仿宋_GB2312" w:cs="仿宋_GB2312" w:eastAsia="仿宋_GB2312"/>
                <w:sz w:val="24"/>
              </w:rPr>
              <w:t>汉中市南郑区法镇九年制学校校园消防整改项目位于汉中市南郑区法镇九年制学校，主要建设内容为：新建消防水池及泵房，建筑面积</w:t>
            </w:r>
            <w:r>
              <w:rPr>
                <w:rFonts w:ascii="仿宋_GB2312" w:hAnsi="仿宋_GB2312" w:cs="仿宋_GB2312" w:eastAsia="仿宋_GB2312"/>
                <w:sz w:val="24"/>
              </w:rPr>
              <w:t>186平方米，室外消火栓，室外电气，火灾报警系统，九年制学校、兴隆小学幼儿园增加消防设施，餐厅改造，水源井等。</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编制</w:t>
            </w:r>
            <w:r>
              <w:rPr>
                <w:rFonts w:ascii="仿宋_GB2312" w:hAnsi="仿宋_GB2312" w:cs="仿宋_GB2312" w:eastAsia="仿宋_GB2312"/>
                <w:sz w:val="24"/>
                <w:b/>
              </w:rPr>
              <w:t>依据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、陕西</w:t>
            </w:r>
            <w:r>
              <w:rPr>
                <w:rFonts w:ascii="仿宋_GB2312" w:hAnsi="仿宋_GB2312" w:cs="仿宋_GB2312" w:eastAsia="仿宋_GB2312"/>
                <w:sz w:val="24"/>
              </w:rPr>
              <w:t>省</w:t>
            </w:r>
            <w:r>
              <w:rPr>
                <w:rFonts w:ascii="仿宋_GB2312" w:hAnsi="仿宋_GB2312" w:cs="仿宋_GB2312" w:eastAsia="仿宋_GB2312"/>
                <w:sz w:val="24"/>
              </w:rPr>
              <w:t>住房和城乡建设厅文件《关于印发</w:t>
            </w:r>
            <w:r>
              <w:rPr>
                <w:rFonts w:ascii="仿宋_GB2312" w:hAnsi="仿宋_GB2312" w:cs="仿宋_GB2312" w:eastAsia="仿宋_GB2312"/>
                <w:sz w:val="24"/>
              </w:rPr>
              <w:t>2025陕西省建设工程费用规则等计价依据的通知》。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、陕西省《建设工程工程量清单计价标准》（</w:t>
            </w:r>
            <w:r>
              <w:rPr>
                <w:rFonts w:ascii="仿宋_GB2312" w:hAnsi="仿宋_GB2312" w:cs="仿宋_GB2312" w:eastAsia="仿宋_GB2312"/>
                <w:sz w:val="24"/>
              </w:rPr>
              <w:t>DB 61/T 5126-2025）》、《市政工程工程量计算标准（DB 61/T 5128-2025）》、《房屋建筑与装饰工程工程量计算标准（DB 61/T 5129-2025）》、《通用安装工程工程量计算标准（DB 61/T 5130-2025）》、《园林绿化工程工程量计算标准（DB 61/T 5131-2025）》。</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、《陕西省建设工程费用规则（</w:t>
            </w:r>
            <w:r>
              <w:rPr>
                <w:rFonts w:ascii="仿宋_GB2312" w:hAnsi="仿宋_GB2312" w:cs="仿宋_GB2312" w:eastAsia="仿宋_GB2312"/>
                <w:sz w:val="24"/>
              </w:rPr>
              <w:t>2025）》、《陕西省房屋建筑与装饰工程消耗量定额（2025）》、《陕西省通用安装工程消耗量定额（2025）》、《陕西省市政工程消耗量定额（2025）》、《陕西省园林绿化工程消耗量定额（2025）》、《陕西省建设工程施工机械台班费用定额（2025）》、《陕西省建设工程施工仪器仪表台班费用定额（2025）》及配套各专业工程基价表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4、《汉中市南郑区法镇九年制学校校园消防整改项目施工图设计》。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、本工程</w:t>
            </w:r>
            <w:r>
              <w:rPr>
                <w:rFonts w:ascii="仿宋_GB2312" w:hAnsi="仿宋_GB2312" w:cs="仿宋_GB2312" w:eastAsia="仿宋_GB2312"/>
                <w:sz w:val="24"/>
              </w:rPr>
              <w:t>主要</w:t>
            </w:r>
            <w:r>
              <w:rPr>
                <w:rFonts w:ascii="仿宋_GB2312" w:hAnsi="仿宋_GB2312" w:cs="仿宋_GB2312" w:eastAsia="仿宋_GB2312"/>
                <w:sz w:val="24"/>
              </w:rPr>
              <w:t>材料价格参照</w:t>
            </w:r>
            <w:r>
              <w:rPr>
                <w:rFonts w:ascii="仿宋_GB2312" w:hAnsi="仿宋_GB2312" w:cs="仿宋_GB2312" w:eastAsia="仿宋_GB2312"/>
                <w:sz w:val="24"/>
              </w:rPr>
              <w:t>2025年10期《汉中建设工程造价信息》南郑区材料价格计算</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、其他说明：</w:t>
            </w:r>
          </w:p>
          <w:p>
            <w:pPr>
              <w:pStyle w:val="null3"/>
              <w:ind w:firstLine="480"/>
              <w:jc w:val="both"/>
            </w:pPr>
            <w:r>
              <w:rPr>
                <w:rFonts w:ascii="仿宋_GB2312" w:hAnsi="仿宋_GB2312" w:cs="仿宋_GB2312" w:eastAsia="仿宋_GB2312"/>
                <w:sz w:val="24"/>
              </w:rPr>
              <w:t>1、混凝土采用商品混凝土，砂浆采用现场搅拌；</w:t>
            </w:r>
          </w:p>
          <w:p>
            <w:pPr>
              <w:pStyle w:val="null3"/>
              <w:ind w:firstLine="480"/>
              <w:jc w:val="both"/>
            </w:pPr>
            <w:r>
              <w:rPr>
                <w:rFonts w:ascii="仿宋_GB2312" w:hAnsi="仿宋_GB2312" w:cs="仿宋_GB2312" w:eastAsia="仿宋_GB2312"/>
                <w:sz w:val="24"/>
              </w:rPr>
              <w:t>2、余土外运运距暂定3km，建筑垃圾外运运距暂定5km计算；</w:t>
            </w:r>
          </w:p>
          <w:p>
            <w:pPr>
              <w:pStyle w:val="null3"/>
              <w:ind w:firstLine="480"/>
              <w:jc w:val="both"/>
            </w:pPr>
            <w:r>
              <w:rPr>
                <w:rFonts w:ascii="仿宋_GB2312" w:hAnsi="仿宋_GB2312" w:cs="仿宋_GB2312" w:eastAsia="仿宋_GB2312"/>
                <w:sz w:val="24"/>
              </w:rPr>
              <w:t>3、水源井暂定综合单价75000元/项。</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采购的设备符合最新国家消防产品认证标准，施工符合国家现行建设标准，能安全、环保、文明施工，自觉履行合同约定，所有设施设备满足寄宿制学校消防安全要求。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工期：45日历天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供应商需提供法定代表人（或委托代理人）身份证明及授权委托书</w:t>
            </w:r>
          </w:p>
        </w:tc>
        <w:tc>
          <w:tcPr>
            <w:tcW w:type="dxa" w:w="3322"/>
          </w:tcPr>
          <w:p>
            <w:pPr>
              <w:pStyle w:val="null3"/>
            </w:pPr>
            <w:r>
              <w:rPr>
                <w:rFonts w:ascii="仿宋_GB2312" w:hAnsi="仿宋_GB2312" w:cs="仿宋_GB2312" w:eastAsia="仿宋_GB2312"/>
              </w:rPr>
              <w:t>供应商需提供法定代表人授权书（附法定代表人身份证复印件）及被授权人身份证复印件（法定代表人直接参加投标只须提供法定代表人身份证复印件）。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供应商须具备建设行政主管部门核发的消防设施工程专业承包二级（含二级）及以上资质等级，且具有合格有效的安全生产许可证。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供应商须具备建设行政主管部门核发的机电工程专业二级（含二级）及以上注册建造师执业资格，并取得（B类）安全生产考核合格证书，无不良记录，无在建工程(提供无在建承诺书)。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提供非联合体声明磋商承诺。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强制优先采购产品承诺函 投标人应提交的相关资格证明材料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强制优先采购产品承诺函 投标人应提交的相关资格证明材料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供应商针对本项目编制完善的总体施工方案，内容包含但不限于： ①具体施工内容；（4分） ②施工次序；（4分） ③施工方法（工艺）；（4分） ④成品保护措施。（4分） 2.评审标准： ①内容全面详细，且条理清晰、准确、措施合理具体； ②内容能够紧扣项目实际情况，内容清晰、合理。 3.赋分标准：根据响应程度赋分，各项评审内容每满足一条评审标准最高得2.0分，未提供相关内容的不计分。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供应商针对本项目编制完善的工程质量技术组织措施，内容包含但不限于： ①质量目标管理体系；（2分） ②施工质量的检验制度；（2分） ③确保质量的技术组织措施；（2分） ④材料储存方案。（2分） 2.评审标准： ①内容全面详细，且条理清晰、准确、措施合理具体； ②内容能够紧扣项目实际情况，内容清晰、合理。 3.赋分标准：根据响应程度赋分， 各项评审内容每满足一条评审标准最高得1.0分，未提供相关内容的不计分。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1.评审内容： 供应商针对本项目编制完善的文明施工及环境保护措施，内容包含但不限于： ①安全文明施工目标及施工现场的临时管理措施； （2分） ②文明施工保障措施；（2分） ③环境保护管理体系；（1分） ④环保控制措施：污染物及废弃物处理的排放、噪音控制、防尘及扬尘的控制措施。（1分） 2.评审标准： ①内容全面详细，且条理清晰、准确、措施合理具体； ②内容能够紧扣项目实际情况，内容清晰、合理。 3.赋分标准：根据响应程度赋分，①②项评审内容每满足一条评审标准最高得1.0分，未提供相关内容的不计分；③④项评审内容每满足一条评审标准最高得0.5分，未提供相关内容的不计分。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 供应商针对本项目编制完善的安全生产的技术组织措施，内容包含但不限于： ①安全管理体系；（2分） ②安全责任归属划分；2分） ③安全标识：安全警戒标语、施工人员安全警示服和安全帽穿配要求；（2分） ④安全教育培训。（2分） 2.评审标准： ①内容全面详细，且条理清晰、准确、措施合理具体； ②内容能够紧扣项目实际情况，内容清晰、合理。 3.赋分标准：根据响应程度赋分，各项评审内容每满足一条评审标准最高得1.0分，未提供相关内容的不计分。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供应商针对本项目编制完善的工期的技术组织措施，内容包含但不限于： ①施工组织与工期保证措施；（2分） ②特殊情况保证：夜间、雨雪、高温、低温等情况。（2分） 2.评审标准： ①内容全面详细，且条理清晰、准确、措施合理具体； ②内容能够紧扣项目实际情况，内容清晰、合理。 3.赋分标准：根据响应程度赋分，各项评审内容每满足一条评审标准最高得1.0分，未提供相关内容的不计分。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1.评审内容： 供应商针对本项目编制完善的施工机械及材料投入计划，内容包含但不限于： ①拟投入的主要施工机械设备计划；（3分） ②主要材料进场计划。（3分） 2.评审标准： ①内容全面详细，且条理清晰、准确、措施合理具体； ②内容能够紧扣项目实际情况，内容清晰、合理。 3.赋分标准：根据响应程度赋分，各项评审内容每满足一条评审标准最高得1.5分，未提供相关内容的不计分。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1.评审内容： 供应商针对本项目编制完善的施工进度网络图或施工进度表，内容包含但不限于： ①施工总进度：施工进度目标和施工总进度计划表/图； （2分） ②施工进度保障措施。 （2分） 2.评审标准： ①内容全面详细，且条理清晰、准确、措施合理具体； ②内容能够紧扣项目实际情况，内容清晰、合理。 3.赋分标准：各项评审内容每满足一条评审标准按响应程度得0.5-1.0分，未提供相关内容的不计分。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1.评审内容： 供应商针对本项目编制完善的劳动力安排计划及劳务分包情况，内容包含但不限于： ①劳动力投入计划；（2分） ②劳务分包情况； （2分） ③劳动力保障措施。 （2分） 2.评审标准： ①内容全面详细，且条理清晰、准确、措施合理具体； ②内容能够紧扣项目实际情况，内容清晰、合理。 3.赋分标准：根据响应程度赋分，各项评审内容每满足一条评审标准最高得1.0分，未提供相关内容的不计分。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1.评审内容：供应商针对本项目编制完善的项目经理部组织机构，内容包含但不限于： ①项目成员配置清单及架构；（1分） ②项目组配备人员的专业素质、人员结构；（1分） ③项目成员的主要职责及工作内容。（2分） 2.评审标准： ①内容全面详细，且条理清晰、准确、措施合理具体； ②内容能够紧扣项目实际情况，内容清晰、合理。 3.赋分标准：根据响应程度赋分，①②项评审内容每满足一条评审标准最多得0.5分，未提供相关内容的不计分；③项评审内容每满足一条评审标准按响应程度最高的1.0分，未提供相关内容的不计分。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供应商针对本项目编制完善的服务承诺，内容包含但不限于： ①针对本项目实际需求提供实质性服务承诺及保障措施；（2分） ②针对本项目的施工验收后期的质保承诺。（2分） 2.评审标准： ①内容全面详细，且条理清晰、准确、措施合理具体； ②内容能够紧扣项目实际情况，内容清晰、合理。 3.赋分标准：根据响应程度赋分，各项评审内容每满足一条评审标准最高得1分，未提供相关内容的不计分。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供应商近三年（2023年01月至今）类似项目业绩，每份计2分，计满4分为止。须提供中标（成交）通知书及合同（协议书）扫描件。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