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版本号：HXTC-ZFCG-南郑区-2026012620260123001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汉中市南郑区中小学幼儿园校园消防能力提升项目（黎坪九年制学校）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HXTC-ZFCG-南郑区-20260126</w:t>
      </w:r>
      <w:r>
        <w:br/>
      </w:r>
      <w:r>
        <w:br/>
      </w:r>
      <w:r>
        <w:br/>
      </w:r>
    </w:p>
    <w:p>
      <w:pPr>
        <w:pStyle w:val="null3"/>
        <w:jc w:val="center"/>
        <w:outlineLvl w:val="2"/>
      </w:pPr>
      <w:r>
        <w:rPr>
          <w:rFonts w:ascii="仿宋_GB2312" w:hAnsi="仿宋_GB2312" w:cs="仿宋_GB2312" w:eastAsia="仿宋_GB2312"/>
          <w:sz w:val="28"/>
          <w:b/>
        </w:rPr>
        <w:t>汉中市南郑区黎坪镇九年制学校</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汉中市南郑区黎坪镇九年制学校</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汉中市南郑区中小学幼儿园校园消防能力提升项目（黎坪九年制学校）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HXTC-ZFCG-南郑区-20260126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汉中市南郑区中小学幼儿园校园消防能力提升项目（黎坪九年制学校）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校园消防能力提升项目（黎坪九年制学校），主要包含：九年制学校消防整改及幼儿园消防整改。九年制学校消防整改为增加应急照明、疏散指示、安全出口灯具、增设室外消火栓及消防水池一座等；幼儿园消防整改为增加应急照明、疏散指示、安全出口灯具及新做塑胶地面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采购包1（汉中市南郑区中小学幼儿园校园消防能力提升项目（黎坪九年制学校））：属于专门面向中小企业采购。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具有履行合同所必须的设备和专业技术能力：供应商须具备建设行政主管部门核发的消防设施工程专业承包二级（含二级）及以上资质等级，且具有有效的安全生产许可证且在有效期内；</w:t>
      </w:r>
    </w:p>
    <w:p>
      <w:pPr>
        <w:pStyle w:val="null3"/>
      </w:pPr>
      <w:r>
        <w:rPr>
          <w:rFonts w:ascii="仿宋_GB2312" w:hAnsi="仿宋_GB2312" w:cs="仿宋_GB2312" w:eastAsia="仿宋_GB2312"/>
        </w:rPr>
        <w:t>3、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拟派项目负责人资质和专业要求：拟派项目负责人须具备机电工程专业注册建造师二级（含二级）以上执业资格和安全生产考核合格B证，且无在建项目、无不良信用记录；</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注：提供加盖公章的证照复印件】：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注：提供“非联合体声明函”】：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p>
      <w:pPr>
        <w:pStyle w:val="null3"/>
      </w:pPr>
      <w:r>
        <w:rPr>
          <w:rFonts w:ascii="仿宋_GB2312" w:hAnsi="仿宋_GB2312" w:cs="仿宋_GB2312" w:eastAsia="仿宋_GB2312"/>
        </w:rPr>
        <w:t>7、供应商按规定缴纳了磋商保证金或提供磋商担保函【注：提供加盖公章的复印件】：供应商按规定缴纳了磋商保证金或提供磋商担保函。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汉中市南郑区黎坪镇九年制学校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汉中市南郑区黎坪镇元坝街18号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汉中市南郑区黎坪镇九年制学校经办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13892686996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陕西省汉中市汉台区将坛西路南侧35号颐馨园小区11楼1101室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汉中市南郑区黎坪镇九年制学校</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汉中市南郑区黎坪镇九年制学校</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汉中市南郑区黎坪镇九年制学校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甲乙双方合同内约定，符合国家及行业现行技术规范标准。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地址：陕西省汉中市汉台区将坛西路南侧35号颐馨园小区东单元11楼1101室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318,000.00</w:t>
      </w:r>
    </w:p>
    <w:p>
      <w:pPr>
        <w:pStyle w:val="null3"/>
      </w:pPr>
      <w:r>
        <w:rPr>
          <w:rFonts w:ascii="仿宋_GB2312" w:hAnsi="仿宋_GB2312" w:cs="仿宋_GB2312" w:eastAsia="仿宋_GB2312"/>
        </w:rPr>
        <w:t>采购包最高限价（元）: 318,000.00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校园消防能力提升项目（黎坪九年制学校）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标的名称：校园消防能力提升项目（黎坪九年制学校）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工程概况：该工程为汉中市南郑区中小学幼儿园校园消防能力提升项目（黎坪九年制学校），主要包含：九年制学校消防整改及幼儿园消防整改。九年制学校消防整改为增加应急照明、疏散指示、安全出口灯具、增设室外消火栓及消防水池一座等；幼儿园消防整改为增加应急照明、疏散指示、安全出口灯具及新做塑胶地面等。</w:t>
            </w:r>
          </w:p>
          <w:p>
            <w:pPr>
              <w:pStyle w:val="null3"/>
              <w:jc w:val="left"/>
            </w:pPr>
            <w:r>
              <w:rPr>
                <w:rFonts w:ascii="仿宋_GB2312" w:hAnsi="仿宋_GB2312" w:cs="仿宋_GB2312" w:eastAsia="仿宋_GB2312"/>
                <w:sz w:val="21"/>
              </w:rPr>
              <w:t>2、施工范围：本项目施工图纸及工程量清单范围内全部工程内容。</w:t>
            </w:r>
          </w:p>
          <w:p>
            <w:pPr>
              <w:pStyle w:val="null3"/>
              <w:jc w:val="left"/>
            </w:pPr>
            <w:r>
              <w:rPr>
                <w:rFonts w:ascii="仿宋_GB2312" w:hAnsi="仿宋_GB2312" w:cs="仿宋_GB2312" w:eastAsia="仿宋_GB2312"/>
                <w:sz w:val="21"/>
              </w:rPr>
              <w:t>3、施工地点：位于陕西省汉中市南郑区黎坪镇九年制学校院内。</w:t>
            </w:r>
          </w:p>
          <w:p>
            <w:pPr>
              <w:pStyle w:val="null3"/>
              <w:jc w:val="left"/>
            </w:pPr>
            <w:r>
              <w:rPr>
                <w:rFonts w:ascii="仿宋_GB2312" w:hAnsi="仿宋_GB2312" w:cs="仿宋_GB2312" w:eastAsia="仿宋_GB2312"/>
                <w:sz w:val="21"/>
              </w:rPr>
              <w:t>4、计划工期（合同履行期限）：合同签订后30日历天（具体服务起止日期可随合同签订时间相应顺延）。</w:t>
            </w:r>
          </w:p>
          <w:p>
            <w:pPr>
              <w:pStyle w:val="null3"/>
              <w:jc w:val="left"/>
            </w:pPr>
            <w:r>
              <w:rPr>
                <w:rFonts w:ascii="仿宋_GB2312" w:hAnsi="仿宋_GB2312" w:cs="仿宋_GB2312" w:eastAsia="仿宋_GB2312"/>
                <w:sz w:val="21"/>
              </w:rPr>
              <w:t>5、工程质量要求：交工验收的质量评定：合格；竣工验收的质量评定：合格；质量达到学校消防建设合格标准，并满足国家相关标准、规范及有关技术文件要求。</w:t>
            </w:r>
          </w:p>
          <w:p>
            <w:pPr>
              <w:pStyle w:val="null3"/>
              <w:jc w:val="left"/>
            </w:pPr>
            <w:r>
              <w:rPr>
                <w:rFonts w:ascii="仿宋_GB2312" w:hAnsi="仿宋_GB2312" w:cs="仿宋_GB2312" w:eastAsia="仿宋_GB2312"/>
                <w:sz w:val="21"/>
              </w:rPr>
              <w:t>6、安全目标：无安全责任事故发生。</w:t>
            </w:r>
          </w:p>
          <w:p>
            <w:pPr>
              <w:pStyle w:val="null3"/>
            </w:pPr>
            <w:r>
              <w:rPr>
                <w:rFonts w:ascii="仿宋_GB2312" w:hAnsi="仿宋_GB2312" w:cs="仿宋_GB2312" w:eastAsia="仿宋_GB2312"/>
                <w:sz w:val="21"/>
              </w:rPr>
              <w:t>7、工程质量保修期：二年。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质量达到学校消防建设合格标准，并满足国家相关行业技术规范标准及有关技术文件要求。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量清单编制依据：（1）汉中市南郑区中小学幼儿园校园消防能力提升项目（黎坪九年制学校）施工图纸及设计文件等；（2）《陕西省工程建设标准之建设工程工程量清单计价标准》（2025）；（3）《陕西省工程建设标准之工程量计算标准》（2025）；（4）《陕西省建设工程费用规则（2025）》。 2、有关问题说明：（1）本项目混凝土按现场搅拌混凝土编制计算；（2）本项目砂浆按现场搅拌砂浆编制计算；（3）余土外运暂按5km计算；（4）新增乙级防火门无材质说明，暂按钢质防火门计算；（5）本工程暂列金暂按30000元计算；（6）建筑材料运至现场产生费用安运距70km，每公里每吨运费1元计算；（7）宿舍楼更换磁卡锁5个，暂按综合单价1200元/个计算。 3、本工程量清单采用广联达云计价平台GCCP7.0版本编制。 4、磋商报价要求：供应商的磋商响应报价超过预算金额（¥：318,000.00元）的，视为未响应竞争性磋商文件要求，其磋商响应文件按无效响应处理。 5、其他：（1）本采购项目的材料、设备、施工须达到所涉及到的现行中华人民共和国以及省、自治区、直辖市或行业的工程建设标准、规范的要求；（2）该项工程项目的材料、设备、施工除须达到以上标准外，还应满足设计要求和采购人在竞争性磋商文件中的有关要求；（3）该工程项目的材料、设备、施工如无上述1、2条的标准，在材料、设备的定货采购和施工安装时，应出具生产厂家或施工安装企业在技术监督部门已备案企业标准，并经采购人批准后方可实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项目名称：汉中市南郑区中小学幼儿园校园消防能力提升项目（黎坪九年制学校）；2、为顺利推进政府采购电子化交易平台应用工作，供应商务必在开标截止时间30分钟前，通过项目电子化交易系统进行签到，如未进行签到，产生的一切后果由供应商自行承担。 3、供应商应认真核实本项目的工程量清单。磋商响应报价是供应商响应本项目要求的全部工作内容的价格体现，包括施工机械使用费、人工费、材料与设备费、其他(运杂费、质检费、安装费、缺陷修复费、保险费，以及合同明示或暗示的风险、责任和义务等)，以及管理费、税金、利润、采购代理服务费、造价咨询费等所有费用，并符合建设工程计价规则。磋商文件未列明，而供应商认为应当计取的费用均应列入报价中。报价时不论是否计取，采购人均按已计取对待。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w:t>
            </w:r>
          </w:p>
        </w:tc>
        <w:tc>
          <w:tcPr>
            <w:tcW w:type="dxa" w:w="332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注：提供加盖公章的证照复印件】</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本项目不接受联合体磋商，单位负责人为同一人或者存在控股、管理关系的不同单位不得同时参与本项目磋商响应【注：提供“非联合体声明函”】</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供应商按规定缴纳了磋商保证金或提供磋商担保函【注：提供加盖公章的复印件】</w:t>
            </w:r>
          </w:p>
        </w:tc>
        <w:tc>
          <w:tcPr>
            <w:tcW w:type="dxa" w:w="3322"/>
          </w:tcPr>
          <w:p>
            <w:pPr>
              <w:pStyle w:val="null3"/>
            </w:pPr>
            <w:r>
              <w:rPr>
                <w:rFonts w:ascii="仿宋_GB2312" w:hAnsi="仿宋_GB2312" w:cs="仿宋_GB2312" w:eastAsia="仿宋_GB2312"/>
              </w:rPr>
              <w:t>供应商按规定缴纳了磋商保证金或提供磋商担保函。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①施工方案；</w:t>
            </w:r>
          </w:p>
        </w:tc>
        <w:tc>
          <w:tcPr>
            <w:tcW w:type="dxa" w:w="2492"/>
          </w:tcPr>
          <w:p>
            <w:pPr>
              <w:pStyle w:val="null3"/>
            </w:pPr>
            <w:r>
              <w:rPr>
                <w:rFonts w:ascii="仿宋_GB2312" w:hAnsi="仿宋_GB2312" w:cs="仿宋_GB2312" w:eastAsia="仿宋_GB2312"/>
              </w:rPr>
              <w:t>供应商针对本项目编制完善的总体施工方案，内容包含但不限于：①消防设施具体施工内容（4分）；②施工次序，确保消防工程优先施工（4分）；③施工方法（工艺）符合消防工程专业标准（4分）；④成品保护措施，重点针对消防设备（包含但不限于防潮、防损措施等）（4分）。 1.评审标准：①内容全面详细，且条理清晰、准确、措施合理具体；②内容能够紧扣项目实际情况，内容清晰、合理。 2.赋分标准：各项评审内容每满足一条评审标准得2分，未提供相关内容的不计分。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附件1：综合评分明细表：①施工方案.docx</w:t>
            </w:r>
          </w:p>
        </w:tc>
      </w:tr>
      <w:tr>
        <w:tc>
          <w:tcPr>
            <w:tcW w:type="dxa" w:w="831"/>
            <w:vMerge/>
          </w:tcPr>
          <w:p/>
        </w:tc>
        <w:tc>
          <w:tcPr>
            <w:tcW w:type="dxa" w:w="1661"/>
          </w:tcPr>
          <w:p>
            <w:pPr>
              <w:pStyle w:val="null3"/>
            </w:pPr>
            <w:r>
              <w:rPr>
                <w:rFonts w:ascii="仿宋_GB2312" w:hAnsi="仿宋_GB2312" w:cs="仿宋_GB2312" w:eastAsia="仿宋_GB2312"/>
              </w:rPr>
              <w:t>②确保工期的技术组织措施；</w:t>
            </w:r>
          </w:p>
        </w:tc>
        <w:tc>
          <w:tcPr>
            <w:tcW w:type="dxa" w:w="2492"/>
          </w:tcPr>
          <w:p>
            <w:pPr>
              <w:pStyle w:val="null3"/>
            </w:pPr>
            <w:r>
              <w:rPr>
                <w:rFonts w:ascii="仿宋_GB2312" w:hAnsi="仿宋_GB2312" w:cs="仿宋_GB2312" w:eastAsia="仿宋_GB2312"/>
              </w:rPr>
              <w:t>供应商针对本项目编制完善的确保工期的技术组织措施，内容结合本项目工期要求及施工地点位于学校的特殊环境，包含但不限于：①施工组织与工期保证措施，制定紧凑的进度计划（3分）；②特殊情况保证：夜间、雨雪、低温等条件下的施工安排，适应学校的特殊环境（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附件2：综合评分明细表：②确保工期的技术组织措施.docx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③劳动力安排计划及劳务分包情况；</w:t>
            </w:r>
          </w:p>
        </w:tc>
        <w:tc>
          <w:tcPr>
            <w:tcW w:type="dxa" w:w="2492"/>
          </w:tcPr>
          <w:p>
            <w:pPr>
              <w:pStyle w:val="null3"/>
            </w:pPr>
            <w:r>
              <w:rPr>
                <w:rFonts w:ascii="仿宋_GB2312" w:hAnsi="仿宋_GB2312" w:cs="仿宋_GB2312" w:eastAsia="仿宋_GB2312"/>
              </w:rPr>
              <w:t>供应商针对本项目编制完善的劳动力安排计划及劳务分包情况，内容应结合工程概况，包含但不限于：①劳动力投入计划：根据本项目施工内容及工期要求，制定详细的工种需求计划及时间安排，确保与消防工程专业匹配（2分）；②劳务分包情况：如有分包，需明确分包范围、资质审核及管理措施，确保符合消防工程标准（2分）；③ 劳动力保障措施：包括人员培训、安全防护、生活保障等，适应学校施工环境（2分）。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附件3：综合评分明细表：③劳动力安排计划及劳务分包情况.docx</w:t>
            </w:r>
          </w:p>
        </w:tc>
      </w:tr>
      <w:tr>
        <w:tc>
          <w:tcPr>
            <w:tcW w:type="dxa" w:w="831"/>
            <w:vMerge/>
          </w:tcPr>
          <w:p/>
        </w:tc>
        <w:tc>
          <w:tcPr>
            <w:tcW w:type="dxa" w:w="1661"/>
          </w:tcPr>
          <w:p>
            <w:pPr>
              <w:pStyle w:val="null3"/>
            </w:pPr>
            <w:r>
              <w:rPr>
                <w:rFonts w:ascii="仿宋_GB2312" w:hAnsi="仿宋_GB2312" w:cs="仿宋_GB2312" w:eastAsia="仿宋_GB2312"/>
              </w:rPr>
              <w:t>④服务承诺；</w:t>
            </w:r>
          </w:p>
        </w:tc>
        <w:tc>
          <w:tcPr>
            <w:tcW w:type="dxa" w:w="2492"/>
          </w:tcPr>
          <w:p>
            <w:pPr>
              <w:pStyle w:val="null3"/>
            </w:pPr>
            <w:r>
              <w:rPr>
                <w:rFonts w:ascii="仿宋_GB2312" w:hAnsi="仿宋_GB2312" w:cs="仿宋_GB2312" w:eastAsia="仿宋_GB2312"/>
              </w:rPr>
              <w:t>供应商针对本项目编制完善的服务承诺，内容包含但不限于：①实质性服务承诺：针对消防系统提供具体的调试、验收配合及移交培训方案（2分）；②质保承诺：提供明确的质保期（不少于2年）内的专项保障措施，如定期巡检计划、故障应急响应时间、主要消防设备的备品备件供应方案等（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附件4：综合评分明细表：④服务承诺.docx</w:t>
            </w:r>
          </w:p>
        </w:tc>
      </w:tr>
      <w:tr>
        <w:tc>
          <w:tcPr>
            <w:tcW w:type="dxa" w:w="831"/>
            <w:vMerge/>
          </w:tcPr>
          <w:p/>
        </w:tc>
        <w:tc>
          <w:tcPr>
            <w:tcW w:type="dxa" w:w="1661"/>
          </w:tcPr>
          <w:p>
            <w:pPr>
              <w:pStyle w:val="null3"/>
            </w:pPr>
            <w:r>
              <w:rPr>
                <w:rFonts w:ascii="仿宋_GB2312" w:hAnsi="仿宋_GB2312" w:cs="仿宋_GB2312" w:eastAsia="仿宋_GB2312"/>
              </w:rPr>
              <w:t>⑤质量、安全及文明施工综合措施；</w:t>
            </w:r>
          </w:p>
        </w:tc>
        <w:tc>
          <w:tcPr>
            <w:tcW w:type="dxa" w:w="2492"/>
          </w:tcPr>
          <w:p>
            <w:pPr>
              <w:pStyle w:val="null3"/>
            </w:pPr>
            <w:r>
              <w:rPr>
                <w:rFonts w:ascii="仿宋_GB2312" w:hAnsi="仿宋_GB2312" w:cs="仿宋_GB2312" w:eastAsia="仿宋_GB2312"/>
              </w:rPr>
              <w:t>供应商针对本项目编制完善的综合措施，内容涵盖：①质量管理体系与检验制度（4分）；②安全管理与防护措施（4分）；③关文明施工方案（4分）；④环境保护措施（4分）。 1.评审标准：①内容全面详细，且条理清晰、准确、措施合理具体；②内容能够紧扣项目实际情况，内容清晰、合理。 2.赋分标准：各项评审内容每满足一条评审标准得2分，未提供相关内容的不计分。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附件5：综合评分明细表：⑤质量、安全及文明施工综合措施.docx</w:t>
            </w:r>
          </w:p>
        </w:tc>
      </w:tr>
      <w:tr>
        <w:tc>
          <w:tcPr>
            <w:tcW w:type="dxa" w:w="831"/>
            <w:vMerge/>
          </w:tcPr>
          <w:p/>
        </w:tc>
        <w:tc>
          <w:tcPr>
            <w:tcW w:type="dxa" w:w="1661"/>
          </w:tcPr>
          <w:p>
            <w:pPr>
              <w:pStyle w:val="null3"/>
            </w:pPr>
            <w:r>
              <w:rPr>
                <w:rFonts w:ascii="仿宋_GB2312" w:hAnsi="仿宋_GB2312" w:cs="仿宋_GB2312" w:eastAsia="仿宋_GB2312"/>
              </w:rPr>
              <w:t>⑥施工机械及材料投入计划；</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供应商针对本项目编制完善的施工机械及材料投入计划，内容包含但不限于：①拟投入的主要施工机械设备计划（3分）；②主要材料进场计划（3分）。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附件6：综合评分明细表：⑥施工机械及材料投入计划.docx</w:t>
            </w:r>
          </w:p>
        </w:tc>
      </w:tr>
      <w:tr>
        <w:tc>
          <w:tcPr>
            <w:tcW w:type="dxa" w:w="831"/>
            <w:vMerge/>
          </w:tcPr>
          <w:p/>
        </w:tc>
        <w:tc>
          <w:tcPr>
            <w:tcW w:type="dxa" w:w="1661"/>
          </w:tcPr>
          <w:p>
            <w:pPr>
              <w:pStyle w:val="null3"/>
            </w:pPr>
            <w:r>
              <w:rPr>
                <w:rFonts w:ascii="仿宋_GB2312" w:hAnsi="仿宋_GB2312" w:cs="仿宋_GB2312" w:eastAsia="仿宋_GB2312"/>
              </w:rPr>
              <w:t>⑦施工进度网络图或施工进度表；</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供应商针对本项目编制完善的施工进度网络图或施工进度表，内容包含但不限于：①施工总进度：施工进度目标和施工总进度计划表/图（3分）；②施工进度保障措施（3分）。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附件7：综合评分明细表：⑦施工进度网络图或施工进度表.docx</w:t>
            </w:r>
          </w:p>
        </w:tc>
      </w:tr>
      <w:tr>
        <w:tc>
          <w:tcPr>
            <w:tcW w:type="dxa" w:w="831"/>
            <w:vMerge/>
          </w:tcPr>
          <w:p/>
        </w:tc>
        <w:tc>
          <w:tcPr>
            <w:tcW w:type="dxa" w:w="1661"/>
          </w:tcPr>
          <w:p>
            <w:pPr>
              <w:pStyle w:val="null3"/>
            </w:pPr>
            <w:r>
              <w:rPr>
                <w:rFonts w:ascii="仿宋_GB2312" w:hAnsi="仿宋_GB2312" w:cs="仿宋_GB2312" w:eastAsia="仿宋_GB2312"/>
              </w:rPr>
              <w:t>⑧项目管理与组织实施能力；</w:t>
            </w:r>
          </w:p>
        </w:tc>
        <w:tc>
          <w:tcPr>
            <w:tcW w:type="dxa" w:w="2492"/>
          </w:tcPr>
          <w:p>
            <w:pPr>
              <w:pStyle w:val="null3"/>
            </w:pPr>
            <w:r>
              <w:rPr>
                <w:rFonts w:ascii="仿宋_GB2312" w:hAnsi="仿宋_GB2312" w:cs="仿宋_GB2312" w:eastAsia="仿宋_GB2312"/>
              </w:rPr>
              <w:t>供应商针对本项目编制完善的项目管理与组织实施方案，内容应结合项目规模、工期紧、学校环境等特点，包含但不限于：①项目团队配置与专业匹配度：明确项目团队组成，并说明各岗位人员的专业资质与项目需求的匹配情况（2分）；②项目实施协调与保障机制：包括内部沟通机制、与学校方（如后勤部门、安全管理部门）的协调措施、应对工期要求的进度管控方案等（2分）；③校园环境适应性管理措施：针对学校场所（如避免干扰教学、学生安全防护、施工时间安排等）制定的专项管理方案（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附件8：综合评分明细表：⑧项目管理与组织实施能力.docx</w:t>
            </w:r>
          </w:p>
        </w:tc>
      </w:tr>
      <w:tr>
        <w:tc>
          <w:tcPr>
            <w:tcW w:type="dxa" w:w="831"/>
            <w:vMerge/>
          </w:tcPr>
          <w:p/>
        </w:tc>
        <w:tc>
          <w:tcPr>
            <w:tcW w:type="dxa" w:w="1661"/>
          </w:tcPr>
          <w:p>
            <w:pPr>
              <w:pStyle w:val="null3"/>
            </w:pPr>
            <w:r>
              <w:rPr>
                <w:rFonts w:ascii="仿宋_GB2312" w:hAnsi="仿宋_GB2312" w:cs="仿宋_GB2312" w:eastAsia="仿宋_GB2312"/>
              </w:rPr>
              <w:t>⑨类似业绩；</w:t>
            </w:r>
          </w:p>
        </w:tc>
        <w:tc>
          <w:tcPr>
            <w:tcW w:type="dxa" w:w="2492"/>
          </w:tcPr>
          <w:p>
            <w:pPr>
              <w:pStyle w:val="null3"/>
            </w:pPr>
            <w:r>
              <w:rPr>
                <w:rFonts w:ascii="仿宋_GB2312" w:hAnsi="仿宋_GB2312" w:cs="仿宋_GB2312" w:eastAsia="仿宋_GB2312"/>
              </w:rPr>
              <w:t>供应商提供近三年（2023年01月——至今）完成类似项目业绩（时间以签订的施工合同时间为准），每提供1个业绩得1分，此项最高得4分；（注：业绩评审需提供加盖公章的项目施工合同复印件）。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附件9：综合评分明细表：⑨类似业绩.docx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详见附件：附件1：综合评分明细表：①施工方案.docx</w:t>
      </w:r>
    </w:p>
    <w:p>
      <w:pPr>
        <w:pStyle w:val="null3"/>
        <w:ind w:firstLine="960"/>
      </w:pPr>
      <w:r>
        <w:rPr>
          <w:rFonts w:ascii="仿宋_GB2312" w:hAnsi="仿宋_GB2312" w:cs="仿宋_GB2312" w:eastAsia="仿宋_GB2312"/>
        </w:rPr>
        <w:t>详见附件：附件2：综合评分明细表：②确保工期的技术组织措施.docx</w:t>
      </w:r>
    </w:p>
    <w:p>
      <w:pPr>
        <w:pStyle w:val="null3"/>
        <w:ind w:firstLine="960"/>
      </w:pPr>
      <w:r>
        <w:rPr>
          <w:rFonts w:ascii="仿宋_GB2312" w:hAnsi="仿宋_GB2312" w:cs="仿宋_GB2312" w:eastAsia="仿宋_GB2312"/>
        </w:rPr>
        <w:t>详见附件：附件3：综合评分明细表：③劳动力安排计划及劳务分包情况.docx</w:t>
      </w:r>
    </w:p>
    <w:p>
      <w:pPr>
        <w:pStyle w:val="null3"/>
        <w:ind w:firstLine="960"/>
      </w:pPr>
      <w:r>
        <w:rPr>
          <w:rFonts w:ascii="仿宋_GB2312" w:hAnsi="仿宋_GB2312" w:cs="仿宋_GB2312" w:eastAsia="仿宋_GB2312"/>
        </w:rPr>
        <w:t>详见附件：附件4：综合评分明细表：④服务承诺.docx</w:t>
      </w:r>
    </w:p>
    <w:p>
      <w:pPr>
        <w:pStyle w:val="null3"/>
        <w:ind w:firstLine="960"/>
      </w:pPr>
      <w:r>
        <w:rPr>
          <w:rFonts w:ascii="仿宋_GB2312" w:hAnsi="仿宋_GB2312" w:cs="仿宋_GB2312" w:eastAsia="仿宋_GB2312"/>
        </w:rPr>
        <w:t>详见附件：附件5：综合评分明细表：⑤质量、安全及文明施工综合措施.docx</w:t>
      </w:r>
    </w:p>
    <w:p>
      <w:pPr>
        <w:pStyle w:val="null3"/>
        <w:ind w:firstLine="960"/>
      </w:pPr>
      <w:r>
        <w:rPr>
          <w:rFonts w:ascii="仿宋_GB2312" w:hAnsi="仿宋_GB2312" w:cs="仿宋_GB2312" w:eastAsia="仿宋_GB2312"/>
        </w:rPr>
        <w:t>详见附件：附件6：综合评分明细表：⑥施工机械及材料投入计划.docx</w:t>
      </w:r>
    </w:p>
    <w:p>
      <w:pPr>
        <w:pStyle w:val="null3"/>
        <w:ind w:firstLine="960"/>
      </w:pPr>
      <w:r>
        <w:rPr>
          <w:rFonts w:ascii="仿宋_GB2312" w:hAnsi="仿宋_GB2312" w:cs="仿宋_GB2312" w:eastAsia="仿宋_GB2312"/>
        </w:rPr>
        <w:t>详见附件：附件7：综合评分明细表：⑦施工进度网络图或施工进度表.docx</w:t>
      </w:r>
    </w:p>
    <w:p>
      <w:pPr>
        <w:pStyle w:val="null3"/>
        <w:ind w:firstLine="960"/>
      </w:pPr>
      <w:r>
        <w:rPr>
          <w:rFonts w:ascii="仿宋_GB2312" w:hAnsi="仿宋_GB2312" w:cs="仿宋_GB2312" w:eastAsia="仿宋_GB2312"/>
        </w:rPr>
        <w:t>详见附件：附件8：综合评分明细表：⑧项目管理与组织实施能力.docx</w:t>
      </w:r>
    </w:p>
    <w:p>
      <w:pPr>
        <w:pStyle w:val="null3"/>
        <w:ind w:firstLine="960"/>
      </w:pPr>
      <w:r>
        <w:rPr>
          <w:rFonts w:ascii="仿宋_GB2312" w:hAnsi="仿宋_GB2312" w:cs="仿宋_GB2312" w:eastAsia="仿宋_GB2312"/>
        </w:rPr>
        <w:t>详见附件：附件9：综合评分明细表：⑨类似业绩.docx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