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两河镇中心小学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3AC1A747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  <w:t>）施工方案：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总体施工方案，内容包含但不限于：①消防设施具体施工内容；②施工次序，确保消防工程优先施工；③施工方法（工艺）符合消防工程专业标准；④成品保护措施，重点针对消防设备（包含但不限于防潮、防损措施等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165E23B7"/>
    <w:rsid w:val="223351C2"/>
    <w:rsid w:val="314E0AC9"/>
    <w:rsid w:val="456552E9"/>
    <w:rsid w:val="49731D6E"/>
    <w:rsid w:val="4ACF2CC7"/>
    <w:rsid w:val="57C1442F"/>
    <w:rsid w:val="66A0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167</Words>
  <Characters>167</Characters>
  <Lines>0</Lines>
  <Paragraphs>0</Paragraphs>
  <TotalTime>0</TotalTime>
  <ScaleCrop>false</ScaleCrop>
  <LinksUpToDate>false</LinksUpToDate>
  <CharactersWithSpaces>167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2026-01-26T02:14:05Z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91C59B7E9F874CF1A7CF9FB245711D2C_11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