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版本号：SXBPRZB-2026010120260126001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2026年春节期间中心城区节日氛围营造采购项目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SXBPRZB-20260101</w:t>
      </w:r>
      <w:r>
        <w:br/>
      </w:r>
      <w:r>
        <w:br/>
      </w:r>
      <w:r>
        <w:br/>
      </w:r>
    </w:p>
    <w:p>
      <w:pPr>
        <w:pStyle w:val="null3"/>
        <w:jc w:val="center"/>
        <w:outlineLvl w:val="2"/>
      </w:pPr>
      <w:r>
        <w:rPr>
          <w:rFonts w:ascii="仿宋_GB2312" w:hAnsi="仿宋_GB2312" w:cs="仿宋_GB2312" w:eastAsia="仿宋_GB2312"/>
          <w:sz w:val="28"/>
          <w:b/>
        </w:rPr>
        <w:t>汉中市南郑区城市管理局</w:t>
      </w:r>
    </w:p>
    <w:p>
      <w:pPr>
        <w:pStyle w:val="null3"/>
        <w:jc w:val="center"/>
        <w:outlineLvl w:val="2"/>
      </w:pPr>
      <w:r>
        <w:rPr>
          <w:rFonts w:ascii="仿宋_GB2312" w:hAnsi="仿宋_GB2312" w:cs="仿宋_GB2312" w:eastAsia="仿宋_GB2312"/>
          <w:sz w:val="28"/>
          <w:b/>
        </w:rPr>
        <w:t>陕西博鹏瑞项目管理有限公司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陕西博鹏瑞项目管理有限公司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汉中市南郑区城市管理局</w:t>
      </w:r>
      <w:r>
        <w:rPr>
          <w:rFonts w:ascii="仿宋_GB2312" w:hAnsi="仿宋_GB2312" w:cs="仿宋_GB2312" w:eastAsia="仿宋_GB2312"/>
        </w:rPr>
        <w:t>委托，拟对</w:t>
      </w:r>
      <w:r>
        <w:rPr>
          <w:rFonts w:ascii="仿宋_GB2312" w:hAnsi="仿宋_GB2312" w:cs="仿宋_GB2312" w:eastAsia="仿宋_GB2312"/>
        </w:rPr>
        <w:t>2026年春节期间中心城区节日氛围营造采购项目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SXBPRZB-20260101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2026年春节期间中心城区节日氛围营造采购项目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2026年春节期间中心城区节日氛围营造采购，包含悬挂纸灯笼、行道树及花丛亮化、重要节点美陈、藤编及后期拆除服务等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采购包1（2026年春节期间中心城区节日氛围营造采购）：属于专门面向中小企业采购。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2、法定代表人身份证明书原件；：法定代表人身份证明书原件；</w:t>
      </w:r>
    </w:p>
    <w:p>
      <w:pPr>
        <w:pStyle w:val="null3"/>
      </w:pPr>
      <w:r>
        <w:rPr>
          <w:rFonts w:ascii="仿宋_GB2312" w:hAnsi="仿宋_GB2312" w:cs="仿宋_GB2312" w:eastAsia="仿宋_GB2312"/>
        </w:rPr>
        <w:t>3、具有良好的商业信誉和健全的财务会计制度,具有履行合同所必需的设备和专业技术能力，具有依法缴纳税收和社会保障金的良好记录，参加本项目采购活动前三年内无重大违法活动记录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汉中市南郑区城市管理局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南郑区汉山街道办南环路中段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南郑区城市管理局经办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18809169996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陕西博鹏瑞项目管理有限公司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陕西省汉中市汉台区陕西省汉中市汉台区兴汉路南缙颐·久玺台售楼部2楼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0916-8889891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采购包1：877,600.00元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开户名称：陕西博鹏瑞项目管理有限公司</w:t>
            </w:r>
          </w:p>
          <w:p>
            <w:pPr>
              <w:pStyle w:val="null3"/>
            </w:pPr>
            <w:r>
              <w:rPr>
                <w:rFonts w:ascii="仿宋_GB2312" w:hAnsi="仿宋_GB2312" w:cs="仿宋_GB2312" w:eastAsia="仿宋_GB2312"/>
              </w:rPr>
              <w:t>开户银行：工行汉中人民路支行</w:t>
            </w:r>
          </w:p>
          <w:p>
            <w:pPr>
              <w:pStyle w:val="null3"/>
            </w:pPr>
            <w:r>
              <w:rPr>
                <w:rFonts w:ascii="仿宋_GB2312" w:hAnsi="仿宋_GB2312" w:cs="仿宋_GB2312" w:eastAsia="仿宋_GB2312"/>
              </w:rPr>
              <w:t>银行账号：2606053619200259834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汉中市南郑区城市管理局</w:t>
      </w:r>
      <w:r>
        <w:rPr>
          <w:rFonts w:ascii="仿宋_GB2312" w:hAnsi="仿宋_GB2312" w:cs="仿宋_GB2312" w:eastAsia="仿宋_GB2312"/>
        </w:rPr>
        <w:t>和</w:t>
      </w:r>
      <w:r>
        <w:rPr>
          <w:rFonts w:ascii="仿宋_GB2312" w:hAnsi="仿宋_GB2312" w:cs="仿宋_GB2312" w:eastAsia="仿宋_GB2312"/>
        </w:rPr>
        <w:t>陕西博鹏瑞项目管理有限公司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汉中市南郑区城市管理局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陕西博鹏瑞项目管理有限公司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汉中市南郑区城市管理局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陕西博鹏瑞项目管理有限公司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1、国家相关标准、规范及有关技术文件。 2、合同、竞争性磋商文件、竞争性磋商响应文件及承诺。</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联系人：邓工</w:t>
      </w:r>
    </w:p>
    <w:p>
      <w:pPr>
        <w:pStyle w:val="null3"/>
      </w:pPr>
      <w:r>
        <w:rPr>
          <w:rFonts w:ascii="仿宋_GB2312" w:hAnsi="仿宋_GB2312" w:cs="仿宋_GB2312" w:eastAsia="仿宋_GB2312"/>
        </w:rPr>
        <w:t>联系电话：0916-8889891</w:t>
      </w:r>
    </w:p>
    <w:p>
      <w:pPr>
        <w:pStyle w:val="null3"/>
      </w:pPr>
      <w:r>
        <w:rPr>
          <w:rFonts w:ascii="仿宋_GB2312" w:hAnsi="仿宋_GB2312" w:cs="仿宋_GB2312" w:eastAsia="仿宋_GB2312"/>
        </w:rPr>
        <w:t>地址：陕西省汉中市汉台区兴汉路南缙颐·久玺台售楼部2楼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2026年春节期间中心城区节日氛围营造采购,包含悬挂纸灯笼、行道树及花丛亮化、重要节点美陈、藤编及后期拆除服务等。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877,600.00</w:t>
      </w:r>
    </w:p>
    <w:p>
      <w:pPr>
        <w:pStyle w:val="null3"/>
      </w:pPr>
      <w:r>
        <w:rPr>
          <w:rFonts w:ascii="仿宋_GB2312" w:hAnsi="仿宋_GB2312" w:cs="仿宋_GB2312" w:eastAsia="仿宋_GB2312"/>
        </w:rPr>
        <w:t>采购包最高限价（元）: 877,600.00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悬挂纸灯笼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行道树及花丛量化</w:t>
            </w:r>
          </w:p>
        </w:tc>
        <w:tc>
          <w:tcPr>
            <w:tcW w:type="dxa" w:w="831"/>
          </w:tcPr>
          <w:p>
            <w:pPr>
              <w:pStyle w:val="null3"/>
              <w:jc w:val="right"/>
            </w:pPr>
            <w:r>
              <w:rPr>
                <w:rFonts w:ascii="仿宋_GB2312" w:hAnsi="仿宋_GB2312" w:cs="仿宋_GB2312" w:eastAsia="仿宋_GB2312"/>
              </w:rPr>
              <w:t>404.00</w:t>
            </w:r>
          </w:p>
        </w:tc>
        <w:tc>
          <w:tcPr>
            <w:tcW w:type="dxa" w:w="831"/>
          </w:tcPr>
          <w:p>
            <w:pPr>
              <w:pStyle w:val="null3"/>
              <w:jc w:val="right"/>
            </w:pPr>
            <w:r>
              <w:rPr>
                <w:rFonts w:ascii="仿宋_GB2312" w:hAnsi="仿宋_GB2312" w:cs="仿宋_GB2312" w:eastAsia="仿宋_GB2312"/>
              </w:rPr>
              <w:t>331,684.00</w:t>
            </w:r>
          </w:p>
        </w:tc>
        <w:tc>
          <w:tcPr>
            <w:tcW w:type="dxa" w:w="831"/>
          </w:tcPr>
          <w:p>
            <w:pPr>
              <w:pStyle w:val="null3"/>
            </w:pPr>
            <w:r>
              <w:rPr>
                <w:rFonts w:ascii="仿宋_GB2312" w:hAnsi="仿宋_GB2312" w:cs="仿宋_GB2312" w:eastAsia="仿宋_GB2312"/>
              </w:rPr>
              <w:t>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重要节点美陈</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355,916.00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藤编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标的名称：悬挂纸灯笼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纸灯笼尺寸为14寸</w:t>
            </w:r>
          </w:p>
        </w:tc>
      </w:tr>
    </w:tbl>
    <w:p>
      <w:pPr>
        <w:pStyle w:val="null3"/>
      </w:pPr>
      <w:r>
        <w:rPr>
          <w:rFonts w:ascii="仿宋_GB2312" w:hAnsi="仿宋_GB2312" w:cs="仿宋_GB2312" w:eastAsia="仿宋_GB2312"/>
        </w:rPr>
        <w:t>标的名称：行道树及花丛量化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LED户外防水串灯，功率6V、电压220V。</w:t>
            </w:r>
          </w:p>
        </w:tc>
      </w:tr>
    </w:tbl>
    <w:p>
      <w:pPr>
        <w:pStyle w:val="null3"/>
      </w:pPr>
      <w:r>
        <w:rPr>
          <w:rFonts w:ascii="仿宋_GB2312" w:hAnsi="仿宋_GB2312" w:cs="仿宋_GB2312" w:eastAsia="仿宋_GB2312"/>
        </w:rPr>
        <w:t>标的名称：重要节点美陈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2"/>
                <w:b/>
                <w:color w:val="333333"/>
              </w:rPr>
              <w:t>一、四马奔腾（不含藤编马）</w:t>
            </w:r>
          </w:p>
          <w:p>
            <w:pPr>
              <w:pStyle w:val="null3"/>
              <w:ind w:firstLine="420"/>
              <w:jc w:val="left"/>
            </w:pPr>
            <w:r>
              <w:rPr>
                <w:rFonts w:ascii="仿宋_GB2312" w:hAnsi="仿宋_GB2312" w:cs="仿宋_GB2312" w:eastAsia="仿宋_GB2312"/>
                <w:sz w:val="21"/>
                <w:color w:val="333333"/>
              </w:rPr>
              <w:t>1.参数：底座长12米，宽2.4米；立柱高3.3米/2.58米，宽1.2米，字60cm*60cm</w:t>
            </w:r>
          </w:p>
          <w:p>
            <w:pPr>
              <w:pStyle w:val="null3"/>
              <w:ind w:firstLine="420"/>
              <w:jc w:val="left"/>
            </w:pPr>
            <w:r>
              <w:rPr>
                <w:rFonts w:ascii="仿宋_GB2312" w:hAnsi="仿宋_GB2312" w:cs="仿宋_GB2312" w:eastAsia="仿宋_GB2312"/>
                <w:sz w:val="21"/>
                <w:color w:val="333333"/>
              </w:rPr>
              <w:t>2.材质：钢结构+实木装饰面板</w:t>
            </w:r>
          </w:p>
          <w:p>
            <w:pPr>
              <w:pStyle w:val="null3"/>
              <w:ind w:firstLine="420"/>
              <w:jc w:val="left"/>
            </w:pPr>
            <w:r>
              <w:rPr>
                <w:rFonts w:ascii="仿宋_GB2312" w:hAnsi="仿宋_GB2312" w:cs="仿宋_GB2312" w:eastAsia="仿宋_GB2312"/>
                <w:sz w:val="21"/>
                <w:color w:val="333333"/>
              </w:rPr>
              <w:t>3.功能要求：点亮</w:t>
            </w:r>
          </w:p>
          <w:p>
            <w:pPr>
              <w:pStyle w:val="null3"/>
              <w:ind w:firstLine="420"/>
              <w:jc w:val="left"/>
            </w:pPr>
            <w:r>
              <w:rPr>
                <w:rFonts w:ascii="仿宋_GB2312" w:hAnsi="仿宋_GB2312" w:cs="仿宋_GB2312" w:eastAsia="仿宋_GB2312"/>
                <w:sz w:val="21"/>
                <w:color w:val="333333"/>
              </w:rPr>
              <w:t>4.大样图：见附件</w:t>
            </w:r>
          </w:p>
          <w:p>
            <w:pPr>
              <w:pStyle w:val="null3"/>
              <w:jc w:val="left"/>
            </w:pPr>
            <w:r>
              <w:rPr>
                <w:rFonts w:ascii="仿宋_GB2312" w:hAnsi="仿宋_GB2312" w:cs="仿宋_GB2312" w:eastAsia="仿宋_GB2312"/>
                <w:sz w:val="22"/>
                <w:b/>
                <w:color w:val="333333"/>
              </w:rPr>
              <w:t>二</w:t>
            </w:r>
            <w:r>
              <w:rPr>
                <w:rFonts w:ascii="仿宋_GB2312" w:hAnsi="仿宋_GB2312" w:cs="仿宋_GB2312" w:eastAsia="仿宋_GB2312"/>
                <w:sz w:val="22"/>
                <w:b/>
                <w:color w:val="333333"/>
              </w:rPr>
              <w:t>.双马报福（不含藤编马）</w:t>
            </w:r>
          </w:p>
          <w:p>
            <w:pPr>
              <w:pStyle w:val="null3"/>
              <w:ind w:firstLine="420"/>
              <w:jc w:val="left"/>
            </w:pPr>
            <w:r>
              <w:rPr>
                <w:rFonts w:ascii="仿宋_GB2312" w:hAnsi="仿宋_GB2312" w:cs="仿宋_GB2312" w:eastAsia="仿宋_GB2312"/>
                <w:sz w:val="21"/>
                <w:color w:val="333333"/>
              </w:rPr>
              <w:t>1.参数：两边立柱灯笼高5.2米，宽1.95米；底座直径6.6米；“福”高3.3米宽3米；</w:t>
            </w:r>
          </w:p>
          <w:p>
            <w:pPr>
              <w:pStyle w:val="null3"/>
              <w:ind w:firstLine="420"/>
              <w:jc w:val="left"/>
            </w:pPr>
            <w:r>
              <w:rPr>
                <w:rFonts w:ascii="仿宋_GB2312" w:hAnsi="仿宋_GB2312" w:cs="仿宋_GB2312" w:eastAsia="仿宋_GB2312"/>
                <w:sz w:val="21"/>
                <w:color w:val="333333"/>
              </w:rPr>
              <w:t>2.材质：杆结构+藤编+实木装饰面板</w:t>
            </w:r>
          </w:p>
          <w:p>
            <w:pPr>
              <w:pStyle w:val="null3"/>
              <w:ind w:firstLine="420"/>
              <w:jc w:val="left"/>
            </w:pPr>
            <w:r>
              <w:rPr>
                <w:rFonts w:ascii="仿宋_GB2312" w:hAnsi="仿宋_GB2312" w:cs="仿宋_GB2312" w:eastAsia="仿宋_GB2312"/>
                <w:sz w:val="21"/>
                <w:color w:val="333333"/>
              </w:rPr>
              <w:t>3.功能要求：点亮</w:t>
            </w:r>
          </w:p>
          <w:p>
            <w:pPr>
              <w:pStyle w:val="null3"/>
              <w:ind w:firstLine="420"/>
              <w:jc w:val="left"/>
            </w:pPr>
            <w:r>
              <w:rPr>
                <w:rFonts w:ascii="仿宋_GB2312" w:hAnsi="仿宋_GB2312" w:cs="仿宋_GB2312" w:eastAsia="仿宋_GB2312"/>
                <w:sz w:val="21"/>
                <w:color w:val="333333"/>
              </w:rPr>
              <w:t>4.大样图：见附件</w:t>
            </w:r>
          </w:p>
          <w:p>
            <w:pPr>
              <w:pStyle w:val="null3"/>
              <w:jc w:val="left"/>
            </w:pPr>
            <w:r>
              <w:rPr>
                <w:rFonts w:ascii="仿宋_GB2312" w:hAnsi="仿宋_GB2312" w:cs="仿宋_GB2312" w:eastAsia="仿宋_GB2312"/>
                <w:sz w:val="22"/>
                <w:b/>
                <w:color w:val="333333"/>
              </w:rPr>
              <w:t>三</w:t>
            </w:r>
            <w:r>
              <w:rPr>
                <w:rFonts w:ascii="仿宋_GB2312" w:hAnsi="仿宋_GB2312" w:cs="仿宋_GB2312" w:eastAsia="仿宋_GB2312"/>
                <w:sz w:val="22"/>
                <w:b/>
                <w:color w:val="333333"/>
              </w:rPr>
              <w:t>、四马奔腾（不含藤编马）</w:t>
            </w:r>
          </w:p>
          <w:p>
            <w:pPr>
              <w:pStyle w:val="null3"/>
              <w:ind w:firstLine="420"/>
              <w:jc w:val="left"/>
            </w:pPr>
            <w:r>
              <w:rPr>
                <w:rFonts w:ascii="仿宋_GB2312" w:hAnsi="仿宋_GB2312" w:cs="仿宋_GB2312" w:eastAsia="仿宋_GB2312"/>
                <w:sz w:val="21"/>
                <w:color w:val="333333"/>
              </w:rPr>
              <w:t>1.</w:t>
            </w:r>
            <w:r>
              <w:rPr>
                <w:rFonts w:ascii="仿宋_GB2312" w:hAnsi="仿宋_GB2312" w:cs="仿宋_GB2312" w:eastAsia="仿宋_GB2312"/>
                <w:sz w:val="21"/>
                <w:color w:val="333333"/>
              </w:rPr>
              <w:t>参数：底座长</w:t>
            </w:r>
            <w:r>
              <w:rPr>
                <w:rFonts w:ascii="仿宋_GB2312" w:hAnsi="仿宋_GB2312" w:cs="仿宋_GB2312" w:eastAsia="仿宋_GB2312"/>
                <w:sz w:val="21"/>
                <w:color w:val="333333"/>
              </w:rPr>
              <w:t>12</w:t>
            </w:r>
            <w:r>
              <w:rPr>
                <w:rFonts w:ascii="仿宋_GB2312" w:hAnsi="仿宋_GB2312" w:cs="仿宋_GB2312" w:eastAsia="仿宋_GB2312"/>
                <w:sz w:val="21"/>
                <w:color w:val="333333"/>
              </w:rPr>
              <w:t>米，宽</w:t>
            </w:r>
            <w:r>
              <w:rPr>
                <w:rFonts w:ascii="仿宋_GB2312" w:hAnsi="仿宋_GB2312" w:cs="仿宋_GB2312" w:eastAsia="仿宋_GB2312"/>
                <w:sz w:val="21"/>
                <w:color w:val="333333"/>
              </w:rPr>
              <w:t>2.4</w:t>
            </w:r>
            <w:r>
              <w:rPr>
                <w:rFonts w:ascii="仿宋_GB2312" w:hAnsi="仿宋_GB2312" w:cs="仿宋_GB2312" w:eastAsia="仿宋_GB2312"/>
                <w:sz w:val="21"/>
                <w:color w:val="333333"/>
              </w:rPr>
              <w:t>米；立柱高</w:t>
            </w:r>
            <w:r>
              <w:rPr>
                <w:rFonts w:ascii="仿宋_GB2312" w:hAnsi="仿宋_GB2312" w:cs="仿宋_GB2312" w:eastAsia="仿宋_GB2312"/>
                <w:sz w:val="21"/>
                <w:color w:val="333333"/>
              </w:rPr>
              <w:t>3.3</w:t>
            </w:r>
            <w:r>
              <w:rPr>
                <w:rFonts w:ascii="仿宋_GB2312" w:hAnsi="仿宋_GB2312" w:cs="仿宋_GB2312" w:eastAsia="仿宋_GB2312"/>
                <w:sz w:val="21"/>
                <w:color w:val="333333"/>
              </w:rPr>
              <w:t>米</w:t>
            </w:r>
            <w:r>
              <w:rPr>
                <w:rFonts w:ascii="仿宋_GB2312" w:hAnsi="仿宋_GB2312" w:cs="仿宋_GB2312" w:eastAsia="仿宋_GB2312"/>
                <w:sz w:val="21"/>
                <w:color w:val="333333"/>
              </w:rPr>
              <w:t>/2.58</w:t>
            </w:r>
            <w:r>
              <w:rPr>
                <w:rFonts w:ascii="仿宋_GB2312" w:hAnsi="仿宋_GB2312" w:cs="仿宋_GB2312" w:eastAsia="仿宋_GB2312"/>
                <w:sz w:val="21"/>
                <w:color w:val="333333"/>
              </w:rPr>
              <w:t>米，宽</w:t>
            </w:r>
            <w:r>
              <w:rPr>
                <w:rFonts w:ascii="仿宋_GB2312" w:hAnsi="仿宋_GB2312" w:cs="仿宋_GB2312" w:eastAsia="仿宋_GB2312"/>
                <w:sz w:val="21"/>
                <w:color w:val="333333"/>
              </w:rPr>
              <w:t>1.2</w:t>
            </w:r>
            <w:r>
              <w:rPr>
                <w:rFonts w:ascii="仿宋_GB2312" w:hAnsi="仿宋_GB2312" w:cs="仿宋_GB2312" w:eastAsia="仿宋_GB2312"/>
                <w:sz w:val="21"/>
                <w:color w:val="333333"/>
              </w:rPr>
              <w:t>米，字</w:t>
            </w:r>
            <w:r>
              <w:rPr>
                <w:rFonts w:ascii="仿宋_GB2312" w:hAnsi="仿宋_GB2312" w:cs="仿宋_GB2312" w:eastAsia="仿宋_GB2312"/>
                <w:sz w:val="21"/>
                <w:color w:val="333333"/>
              </w:rPr>
              <w:t>60cm*60cm</w:t>
            </w:r>
          </w:p>
          <w:p>
            <w:pPr>
              <w:pStyle w:val="null3"/>
              <w:ind w:firstLine="420"/>
              <w:jc w:val="left"/>
            </w:pPr>
            <w:r>
              <w:rPr>
                <w:rFonts w:ascii="仿宋_GB2312" w:hAnsi="仿宋_GB2312" w:cs="仿宋_GB2312" w:eastAsia="仿宋_GB2312"/>
                <w:sz w:val="21"/>
                <w:color w:val="333333"/>
              </w:rPr>
              <w:t>2.</w:t>
            </w:r>
            <w:r>
              <w:rPr>
                <w:rFonts w:ascii="仿宋_GB2312" w:hAnsi="仿宋_GB2312" w:cs="仿宋_GB2312" w:eastAsia="仿宋_GB2312"/>
                <w:sz w:val="21"/>
                <w:color w:val="333333"/>
              </w:rPr>
              <w:t>材质：钢结构</w:t>
            </w:r>
            <w:r>
              <w:rPr>
                <w:rFonts w:ascii="仿宋_GB2312" w:hAnsi="仿宋_GB2312" w:cs="仿宋_GB2312" w:eastAsia="仿宋_GB2312"/>
                <w:sz w:val="21"/>
                <w:color w:val="333333"/>
              </w:rPr>
              <w:t>+</w:t>
            </w:r>
            <w:r>
              <w:rPr>
                <w:rFonts w:ascii="仿宋_GB2312" w:hAnsi="仿宋_GB2312" w:cs="仿宋_GB2312" w:eastAsia="仿宋_GB2312"/>
                <w:sz w:val="21"/>
                <w:color w:val="333333"/>
              </w:rPr>
              <w:t>实木装饰面板</w:t>
            </w:r>
          </w:p>
          <w:p>
            <w:pPr>
              <w:pStyle w:val="null3"/>
              <w:ind w:firstLine="420"/>
              <w:jc w:val="left"/>
            </w:pPr>
            <w:r>
              <w:rPr>
                <w:rFonts w:ascii="仿宋_GB2312" w:hAnsi="仿宋_GB2312" w:cs="仿宋_GB2312" w:eastAsia="仿宋_GB2312"/>
                <w:sz w:val="21"/>
                <w:color w:val="333333"/>
              </w:rPr>
              <w:t>3.</w:t>
            </w:r>
            <w:r>
              <w:rPr>
                <w:rFonts w:ascii="仿宋_GB2312" w:hAnsi="仿宋_GB2312" w:cs="仿宋_GB2312" w:eastAsia="仿宋_GB2312"/>
                <w:sz w:val="21"/>
                <w:color w:val="333333"/>
              </w:rPr>
              <w:t>功能要求：点亮</w:t>
            </w:r>
          </w:p>
          <w:p>
            <w:pPr>
              <w:pStyle w:val="null3"/>
              <w:ind w:firstLine="420"/>
              <w:jc w:val="left"/>
            </w:pPr>
            <w:r>
              <w:rPr>
                <w:rFonts w:ascii="仿宋_GB2312" w:hAnsi="仿宋_GB2312" w:cs="仿宋_GB2312" w:eastAsia="仿宋_GB2312"/>
                <w:sz w:val="21"/>
                <w:color w:val="333333"/>
              </w:rPr>
              <w:t>4.</w:t>
            </w:r>
            <w:r>
              <w:rPr>
                <w:rFonts w:ascii="仿宋_GB2312" w:hAnsi="仿宋_GB2312" w:cs="仿宋_GB2312" w:eastAsia="仿宋_GB2312"/>
                <w:sz w:val="21"/>
                <w:color w:val="333333"/>
              </w:rPr>
              <w:t>大样图：见附件</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标的名称：藤编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b/>
                <w:color w:val="333333"/>
              </w:rPr>
              <w:t>一</w:t>
            </w:r>
            <w:r>
              <w:rPr>
                <w:rFonts w:ascii="仿宋_GB2312" w:hAnsi="仿宋_GB2312" w:cs="仿宋_GB2312" w:eastAsia="仿宋_GB2312"/>
                <w:sz w:val="22"/>
                <w:b/>
                <w:color w:val="333333"/>
              </w:rPr>
              <w:t>.朱鹮</w:t>
            </w:r>
          </w:p>
          <w:p>
            <w:pPr>
              <w:pStyle w:val="null3"/>
              <w:ind w:firstLine="420"/>
              <w:jc w:val="left"/>
            </w:pPr>
            <w:r>
              <w:rPr>
                <w:rFonts w:ascii="仿宋_GB2312" w:hAnsi="仿宋_GB2312" w:cs="仿宋_GB2312" w:eastAsia="仿宋_GB2312"/>
                <w:sz w:val="21"/>
                <w:color w:val="333333"/>
              </w:rPr>
              <w:t>1.参数：正面5.2m*3.5m，侧面3.3m*3.5m，底座D2.5m*H0.8M</w:t>
            </w:r>
          </w:p>
          <w:p>
            <w:pPr>
              <w:pStyle w:val="null3"/>
              <w:ind w:firstLine="420"/>
              <w:jc w:val="left"/>
            </w:pPr>
            <w:r>
              <w:rPr>
                <w:rFonts w:ascii="仿宋_GB2312" w:hAnsi="仿宋_GB2312" w:cs="仿宋_GB2312" w:eastAsia="仿宋_GB2312"/>
                <w:sz w:val="21"/>
                <w:color w:val="333333"/>
              </w:rPr>
              <w:t>2.材质:藤编</w:t>
            </w:r>
          </w:p>
          <w:p>
            <w:pPr>
              <w:pStyle w:val="null3"/>
              <w:ind w:firstLine="420"/>
              <w:jc w:val="left"/>
            </w:pPr>
            <w:r>
              <w:rPr>
                <w:rFonts w:ascii="仿宋_GB2312" w:hAnsi="仿宋_GB2312" w:cs="仿宋_GB2312" w:eastAsia="仿宋_GB2312"/>
                <w:sz w:val="21"/>
                <w:color w:val="333333"/>
              </w:rPr>
              <w:t>3.功能要求：点亮</w:t>
            </w:r>
          </w:p>
          <w:p>
            <w:pPr>
              <w:pStyle w:val="null3"/>
              <w:ind w:firstLine="420"/>
              <w:jc w:val="left"/>
            </w:pPr>
            <w:r>
              <w:rPr>
                <w:rFonts w:ascii="仿宋_GB2312" w:hAnsi="仿宋_GB2312" w:cs="仿宋_GB2312" w:eastAsia="仿宋_GB2312"/>
                <w:sz w:val="21"/>
                <w:color w:val="333333"/>
              </w:rPr>
              <w:t>4.大样图：见附件</w:t>
            </w:r>
          </w:p>
          <w:p>
            <w:pPr>
              <w:pStyle w:val="null3"/>
              <w:jc w:val="both"/>
            </w:pPr>
            <w:r>
              <w:rPr>
                <w:rFonts w:ascii="仿宋_GB2312" w:hAnsi="仿宋_GB2312" w:cs="仿宋_GB2312" w:eastAsia="仿宋_GB2312"/>
                <w:sz w:val="22"/>
                <w:b/>
                <w:color w:val="333333"/>
              </w:rPr>
              <w:t>二</w:t>
            </w:r>
            <w:r>
              <w:rPr>
                <w:rFonts w:ascii="仿宋_GB2312" w:hAnsi="仿宋_GB2312" w:cs="仿宋_GB2312" w:eastAsia="仿宋_GB2312"/>
                <w:sz w:val="22"/>
                <w:b/>
                <w:color w:val="333333"/>
              </w:rPr>
              <w:t>.脸谱</w:t>
            </w:r>
          </w:p>
          <w:p>
            <w:pPr>
              <w:pStyle w:val="null3"/>
              <w:ind w:firstLine="420"/>
              <w:jc w:val="left"/>
            </w:pPr>
            <w:r>
              <w:rPr>
                <w:rFonts w:ascii="仿宋_GB2312" w:hAnsi="仿宋_GB2312" w:cs="仿宋_GB2312" w:eastAsia="仿宋_GB2312"/>
                <w:sz w:val="21"/>
                <w:color w:val="333333"/>
              </w:rPr>
              <w:t>1.参数：正面2m*6m    底座2m*0.6m</w:t>
            </w:r>
          </w:p>
          <w:p>
            <w:pPr>
              <w:pStyle w:val="null3"/>
              <w:ind w:firstLine="420"/>
              <w:jc w:val="left"/>
            </w:pPr>
            <w:r>
              <w:rPr>
                <w:rFonts w:ascii="仿宋_GB2312" w:hAnsi="仿宋_GB2312" w:cs="仿宋_GB2312" w:eastAsia="仿宋_GB2312"/>
                <w:sz w:val="21"/>
                <w:color w:val="333333"/>
              </w:rPr>
              <w:t>2.材质:藤编</w:t>
            </w:r>
          </w:p>
          <w:p>
            <w:pPr>
              <w:pStyle w:val="null3"/>
              <w:ind w:firstLine="420"/>
              <w:jc w:val="left"/>
            </w:pPr>
            <w:r>
              <w:rPr>
                <w:rFonts w:ascii="仿宋_GB2312" w:hAnsi="仿宋_GB2312" w:cs="仿宋_GB2312" w:eastAsia="仿宋_GB2312"/>
                <w:sz w:val="21"/>
                <w:color w:val="333333"/>
              </w:rPr>
              <w:t>3.功能要求：点亮</w:t>
            </w:r>
          </w:p>
          <w:p>
            <w:pPr>
              <w:pStyle w:val="null3"/>
              <w:ind w:firstLine="420"/>
              <w:jc w:val="left"/>
            </w:pPr>
            <w:r>
              <w:rPr>
                <w:rFonts w:ascii="仿宋_GB2312" w:hAnsi="仿宋_GB2312" w:cs="仿宋_GB2312" w:eastAsia="仿宋_GB2312"/>
                <w:sz w:val="21"/>
                <w:color w:val="333333"/>
              </w:rPr>
              <w:t>4.大样</w:t>
            </w:r>
            <w:r>
              <w:rPr>
                <w:rFonts w:ascii="仿宋_GB2312" w:hAnsi="仿宋_GB2312" w:cs="仿宋_GB2312" w:eastAsia="仿宋_GB2312"/>
                <w:sz w:val="21"/>
                <w:color w:val="333333"/>
              </w:rPr>
              <w:t>图：见附件</w:t>
            </w:r>
          </w:p>
          <w:p>
            <w:pPr>
              <w:pStyle w:val="null3"/>
              <w:jc w:val="both"/>
            </w:pPr>
            <w:r>
              <w:rPr>
                <w:rFonts w:ascii="仿宋_GB2312" w:hAnsi="仿宋_GB2312" w:cs="仿宋_GB2312" w:eastAsia="仿宋_GB2312"/>
                <w:sz w:val="22"/>
                <w:b/>
                <w:color w:val="333333"/>
              </w:rPr>
              <w:t>三</w:t>
            </w:r>
            <w:r>
              <w:rPr>
                <w:rFonts w:ascii="仿宋_GB2312" w:hAnsi="仿宋_GB2312" w:cs="仿宋_GB2312" w:eastAsia="仿宋_GB2312"/>
                <w:sz w:val="22"/>
                <w:b/>
                <w:color w:val="333333"/>
              </w:rPr>
              <w:t>.四马奔腾</w:t>
            </w:r>
          </w:p>
          <w:p>
            <w:pPr>
              <w:pStyle w:val="null3"/>
              <w:ind w:firstLine="420"/>
              <w:jc w:val="left"/>
            </w:pPr>
            <w:r>
              <w:rPr>
                <w:rFonts w:ascii="仿宋_GB2312" w:hAnsi="仿宋_GB2312" w:cs="仿宋_GB2312" w:eastAsia="仿宋_GB2312"/>
                <w:sz w:val="21"/>
                <w:color w:val="333333"/>
              </w:rPr>
              <w:t>1.参数：藤编马高3.5米/3.1米,长2.8/2.5米。</w:t>
            </w:r>
          </w:p>
          <w:p>
            <w:pPr>
              <w:pStyle w:val="null3"/>
              <w:ind w:firstLine="420"/>
              <w:jc w:val="left"/>
            </w:pPr>
            <w:r>
              <w:rPr>
                <w:rFonts w:ascii="仿宋_GB2312" w:hAnsi="仿宋_GB2312" w:cs="仿宋_GB2312" w:eastAsia="仿宋_GB2312"/>
                <w:sz w:val="21"/>
                <w:color w:val="333333"/>
              </w:rPr>
              <w:t>2.材质:藤编</w:t>
            </w:r>
          </w:p>
          <w:p>
            <w:pPr>
              <w:pStyle w:val="null3"/>
              <w:ind w:firstLine="420"/>
              <w:jc w:val="left"/>
            </w:pPr>
            <w:r>
              <w:rPr>
                <w:rFonts w:ascii="仿宋_GB2312" w:hAnsi="仿宋_GB2312" w:cs="仿宋_GB2312" w:eastAsia="仿宋_GB2312"/>
                <w:sz w:val="21"/>
                <w:color w:val="333333"/>
              </w:rPr>
              <w:t>3.功能要求：点亮</w:t>
            </w:r>
          </w:p>
          <w:p>
            <w:pPr>
              <w:pStyle w:val="null3"/>
              <w:ind w:firstLine="420"/>
              <w:jc w:val="left"/>
            </w:pPr>
            <w:r>
              <w:rPr>
                <w:rFonts w:ascii="仿宋_GB2312" w:hAnsi="仿宋_GB2312" w:cs="仿宋_GB2312" w:eastAsia="仿宋_GB2312"/>
                <w:sz w:val="21"/>
                <w:color w:val="333333"/>
              </w:rPr>
              <w:t>4.大样</w:t>
            </w:r>
            <w:r>
              <w:rPr>
                <w:rFonts w:ascii="仿宋_GB2312" w:hAnsi="仿宋_GB2312" w:cs="仿宋_GB2312" w:eastAsia="仿宋_GB2312"/>
                <w:sz w:val="21"/>
                <w:color w:val="333333"/>
              </w:rPr>
              <w:t>图：见附件</w:t>
            </w:r>
          </w:p>
          <w:p>
            <w:pPr>
              <w:pStyle w:val="null3"/>
              <w:jc w:val="both"/>
            </w:pPr>
            <w:r>
              <w:rPr>
                <w:rFonts w:ascii="仿宋_GB2312" w:hAnsi="仿宋_GB2312" w:cs="仿宋_GB2312" w:eastAsia="仿宋_GB2312"/>
                <w:sz w:val="22"/>
                <w:b/>
                <w:color w:val="333333"/>
              </w:rPr>
              <w:t>四</w:t>
            </w:r>
            <w:r>
              <w:rPr>
                <w:rFonts w:ascii="仿宋_GB2312" w:hAnsi="仿宋_GB2312" w:cs="仿宋_GB2312" w:eastAsia="仿宋_GB2312"/>
                <w:sz w:val="22"/>
                <w:b/>
                <w:color w:val="333333"/>
              </w:rPr>
              <w:t>.双马报福</w:t>
            </w:r>
          </w:p>
          <w:p>
            <w:pPr>
              <w:pStyle w:val="null3"/>
              <w:ind w:firstLine="420"/>
              <w:jc w:val="left"/>
            </w:pPr>
            <w:r>
              <w:rPr>
                <w:rFonts w:ascii="仿宋_GB2312" w:hAnsi="仿宋_GB2312" w:cs="仿宋_GB2312" w:eastAsia="仿宋_GB2312"/>
                <w:sz w:val="21"/>
                <w:color w:val="333333"/>
              </w:rPr>
              <w:t>1.参数：藤编马高2.7米，宽2.2米。</w:t>
            </w:r>
          </w:p>
          <w:p>
            <w:pPr>
              <w:pStyle w:val="null3"/>
              <w:ind w:firstLine="420"/>
              <w:jc w:val="left"/>
            </w:pPr>
            <w:r>
              <w:rPr>
                <w:rFonts w:ascii="仿宋_GB2312" w:hAnsi="仿宋_GB2312" w:cs="仿宋_GB2312" w:eastAsia="仿宋_GB2312"/>
                <w:sz w:val="21"/>
                <w:color w:val="333333"/>
              </w:rPr>
              <w:t>2.材质:藤编</w:t>
            </w:r>
          </w:p>
          <w:p>
            <w:pPr>
              <w:pStyle w:val="null3"/>
              <w:ind w:firstLine="420"/>
              <w:jc w:val="left"/>
            </w:pPr>
            <w:r>
              <w:rPr>
                <w:rFonts w:ascii="仿宋_GB2312" w:hAnsi="仿宋_GB2312" w:cs="仿宋_GB2312" w:eastAsia="仿宋_GB2312"/>
                <w:sz w:val="21"/>
                <w:color w:val="333333"/>
              </w:rPr>
              <w:t>3.功能要求：点亮</w:t>
            </w:r>
          </w:p>
          <w:p>
            <w:pPr>
              <w:pStyle w:val="null3"/>
              <w:ind w:firstLine="420"/>
              <w:jc w:val="left"/>
            </w:pPr>
            <w:r>
              <w:rPr>
                <w:rFonts w:ascii="仿宋_GB2312" w:hAnsi="仿宋_GB2312" w:cs="仿宋_GB2312" w:eastAsia="仿宋_GB2312"/>
                <w:sz w:val="21"/>
                <w:color w:val="333333"/>
              </w:rPr>
              <w:t>4.大样</w:t>
            </w:r>
            <w:r>
              <w:rPr>
                <w:rFonts w:ascii="仿宋_GB2312" w:hAnsi="仿宋_GB2312" w:cs="仿宋_GB2312" w:eastAsia="仿宋_GB2312"/>
                <w:sz w:val="21"/>
                <w:color w:val="333333"/>
              </w:rPr>
              <w:t>图：见附件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根据本项目完成时限性合理配置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根据本项目实施过程合理配置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拆除工程：春节结束后，按甲方要求在规定时间内拆除。</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验收标准：合格标准；验收依据： 1、国家相关标准、规范及有关技术文件。 2、合同、竞争性磋商文件、竞争性磋商响应文件及承诺。</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项目完工后，包括后期拆除工程及甲方验收后，一次性支付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合同执行过程中如发生争议，双方应及时协商解决，协商不成，双方均可向项目所在地或甲方所在地人民法院起诉。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具有独立承担民事责任能力的证明材料.docx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法定代表人身份证明书原件；</w:t>
            </w:r>
          </w:p>
        </w:tc>
        <w:tc>
          <w:tcPr>
            <w:tcW w:type="dxa" w:w="3322"/>
          </w:tcPr>
          <w:p>
            <w:pPr>
              <w:pStyle w:val="null3"/>
            </w:pPr>
            <w:r>
              <w:rPr>
                <w:rFonts w:ascii="仿宋_GB2312" w:hAnsi="仿宋_GB2312" w:cs="仿宋_GB2312" w:eastAsia="仿宋_GB2312"/>
              </w:rPr>
              <w:t>法定代表人身份证明书原件；</w:t>
            </w:r>
          </w:p>
        </w:tc>
        <w:tc>
          <w:tcPr>
            <w:tcW w:type="dxa" w:w="1661"/>
          </w:tcPr>
          <w:p>
            <w:pPr>
              <w:pStyle w:val="null3"/>
            </w:pPr>
            <w:r>
              <w:rPr>
                <w:rFonts w:ascii="仿宋_GB2312" w:hAnsi="仿宋_GB2312" w:cs="仿宋_GB2312" w:eastAsia="仿宋_GB2312"/>
              </w:rPr>
              <w:t>法定代表人身份证明书.docx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响应文件及响应文件封面</w:t>
            </w:r>
          </w:p>
        </w:tc>
        <w:tc>
          <w:tcPr>
            <w:tcW w:type="dxa" w:w="3322"/>
          </w:tcPr>
          <w:p>
            <w:pPr>
              <w:pStyle w:val="null3"/>
            </w:pPr>
            <w:r>
              <w:rPr>
                <w:rFonts w:ascii="仿宋_GB2312" w:hAnsi="仿宋_GB2312" w:cs="仿宋_GB2312" w:eastAsia="仿宋_GB2312"/>
              </w:rPr>
              <w:t>响应文件的签署、盖章符合磋商文件要求，供应商递交的响应文件项目名称及项目编号与本项目一致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响应文件构成无重大缺漏项，是否实质性响应磋商文件</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响应文件构成无重大缺漏项，是否实质性响应磋商文件</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根据供应商提供的针对本项目服务方案进行综合审核： 总体服务方案比较详细、思路清晰，可行性高，对项目方向的理解准确、针对性强，与采购内容及要求契合度高，得20分； 总体服务方案基本详细、思路清晰，基本可行，对项目方向的理解基本准确、针对性强，与采购内容及要求契合度高 ，得12分； 总体服务方案合理性、可行性一般，对项目方向的理解准确，与采购内容及要求契合度稍低，得5分；若给出的方案不切和实际，不符合本项目实际情况不得分。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质量保证方案，应当包含以下内容:①实施阶段重点管理②质量控制组织机构及内部质量控制制度；③质量控制目标、质量控制措施(方法)以及投标人对项目响应及时的承诺等。方案详细全面，承诺可行均适用于本项目的得15分； 方案详细，承诺基本可行的得10分； 方案简略且承诺不详实的得5分；方案不切合实际，不符合本项目实际情况不得分。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进度保证方案</w:t>
            </w:r>
          </w:p>
        </w:tc>
        <w:tc>
          <w:tcPr>
            <w:tcW w:type="dxa" w:w="2492"/>
          </w:tcPr>
          <w:p>
            <w:pPr>
              <w:pStyle w:val="null3"/>
            </w:pPr>
            <w:r>
              <w:rPr>
                <w:rFonts w:ascii="仿宋_GB2312" w:hAnsi="仿宋_GB2312" w:cs="仿宋_GB2312" w:eastAsia="仿宋_GB2312"/>
              </w:rPr>
              <w:t>进度保证方案，提供项目实施的进度安排及按时完成工作内容的保证措施。 措施科学合理、有效到位，针对性完全满足采购需求得10分； 措施基本科学合理，基本到位，可以满足本项目的服务需求，但个别细节需进一步完善或提高得6分； 措施针对性不强得3分；措施偏离本项目不得分。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风险控制制度、工作重难点分析与控制措施</w:t>
            </w:r>
          </w:p>
        </w:tc>
        <w:tc>
          <w:tcPr>
            <w:tcW w:type="dxa" w:w="2492"/>
          </w:tcPr>
          <w:p>
            <w:pPr>
              <w:pStyle w:val="null3"/>
            </w:pPr>
            <w:r>
              <w:rPr>
                <w:rFonts w:ascii="仿宋_GB2312" w:hAnsi="仿宋_GB2312" w:cs="仿宋_GB2312" w:eastAsia="仿宋_GB2312"/>
              </w:rPr>
              <w:t>具有行业风险控制制度、工作重难点分析与控制措施，风险控制得当可行，措施内容完善合理可行性高得5分； 措施内容基本完善合理得3分； 措施内容简单得1分。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应急服务承诺及补救措施</w:t>
            </w:r>
          </w:p>
        </w:tc>
        <w:tc>
          <w:tcPr>
            <w:tcW w:type="dxa" w:w="2492"/>
          </w:tcPr>
          <w:p>
            <w:pPr>
              <w:pStyle w:val="null3"/>
            </w:pPr>
            <w:r>
              <w:rPr>
                <w:rFonts w:ascii="仿宋_GB2312" w:hAnsi="仿宋_GB2312" w:cs="仿宋_GB2312" w:eastAsia="仿宋_GB2312"/>
              </w:rPr>
              <w:t>针对在本项目工作中，因特殊情况对本项目时限的要求有特殊的应急服务承诺及补救措施； 承诺和措施内容完善合理可行得5分； 承诺和措施内容基本完善合理得3分；承诺和措施内容偏离本项目不得分。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团队管理组织架构</w:t>
            </w:r>
          </w:p>
        </w:tc>
        <w:tc>
          <w:tcPr>
            <w:tcW w:type="dxa" w:w="2492"/>
          </w:tcPr>
          <w:p>
            <w:pPr>
              <w:pStyle w:val="null3"/>
            </w:pPr>
            <w:r>
              <w:rPr>
                <w:rFonts w:ascii="仿宋_GB2312" w:hAnsi="仿宋_GB2312" w:cs="仿宋_GB2312" w:eastAsia="仿宋_GB2312"/>
              </w:rPr>
              <w:t>团队管理组织架构合理，人员配备完善，分工科学、专业知识构架全面、岗位职责明确，人员数量充足，经验丰富，需提供相关人员证明材料，项目负责人得1分，每增加一名人员得0.5分，本项最高的6分。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针对本项目的售后服务安排</w:t>
            </w:r>
          </w:p>
        </w:tc>
        <w:tc>
          <w:tcPr>
            <w:tcW w:type="dxa" w:w="2492"/>
          </w:tcPr>
          <w:p>
            <w:pPr>
              <w:pStyle w:val="null3"/>
            </w:pPr>
            <w:r>
              <w:rPr>
                <w:rFonts w:ascii="仿宋_GB2312" w:hAnsi="仿宋_GB2312" w:cs="仿宋_GB2312" w:eastAsia="仿宋_GB2312"/>
              </w:rPr>
              <w:t>针对本项目的售后服务安排，具有专业的售后服务人员（须提供售后服务人员联络方式），且提供详尽的服务承诺；根据提供证明材料的完整性，可靠性、科学性，按其响应程度赋分；售后服务安排详细可行得6分；售后服务承诺基本完善合理可行4分；售后服务措施和承诺较差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自本项目投标截止之日起三年内类似项目的业绩，每个业绩得1分，最高得3分，以签订的合同原件或复印件及中标通知书为准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1.价格计分采用低价优先法计算，即满足采购文件要求且投标价格最低的投标报价为评标基准价，其投标报价得分为30分；其他合格供应商统一按照下列公式计算： 投标报价得分=评标基准价/投标报价×30×100% 2.报价不完整的，不进入评标基准价的计算，本项得0分。 3.经评委会一致认定，供应商的最终总报价低于公认市场成本，或超过采购预算，其投标文件将视为无效。 4.本项目专门面向中小企业采购，评审时不再进行价格扣除。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详见附件：具有独立承担民事责任能力的证明材料.docx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详见附件：政府采购合同主要条款格式（服务）.docx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