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 w:ascii="宋体" w:hAnsi="宋体" w:eastAsia="宋体" w:cs="宋体"/>
          <w:sz w:val="36"/>
          <w:szCs w:val="44"/>
          <w:lang w:eastAsia="zh-CN"/>
        </w:rPr>
      </w:pPr>
      <w:r>
        <w:rPr>
          <w:rFonts w:hint="eastAsia" w:ascii="宋体" w:hAnsi="宋体" w:eastAsia="宋体" w:cs="宋体"/>
          <w:sz w:val="36"/>
          <w:szCs w:val="44"/>
          <w:lang w:eastAsia="zh-CN"/>
        </w:rPr>
        <w:t>技术方案</w:t>
      </w:r>
    </w:p>
    <w:p w14:paraId="137FBB32">
      <w:pPr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说明：由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根据第六章《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办法》评分标准，结合本项目采购内容及要求编制，格式自拟。</w:t>
      </w:r>
    </w:p>
    <w:p w14:paraId="725BB7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C5E0D"/>
    <w:rsid w:val="4B1C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2026-01-29T09:00:00Z</dcterms:created>
  <dc:creator>太阳Lion</dc:creator>
  <cp:lastModifiedBy>太阳Lion</cp:lastModifiedBy>
  <dcterms:modified xsi:type="dcterms:W3CDTF">2026-01-29T09:00:14Z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A81F3685F8B147AA956085919F253B4C_11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