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版本号：ZZHHCG-2026-010220260130001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汉中市南郑区中小学幼儿园消防能力提升项目（塘坎中学）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ZZHHCG-2026-0102</w:t>
      </w:r>
      <w:r>
        <w:br/>
      </w:r>
      <w:r>
        <w:br/>
      </w:r>
      <w:r>
        <w:br/>
      </w:r>
    </w:p>
    <w:p>
      <w:pPr>
        <w:pStyle w:val="null3"/>
        <w:jc w:val="center"/>
        <w:outlineLvl w:val="2"/>
      </w:pPr>
      <w:r>
        <w:rPr>
          <w:rFonts w:ascii="仿宋_GB2312" w:hAnsi="仿宋_GB2312" w:cs="仿宋_GB2312" w:eastAsia="仿宋_GB2312"/>
          <w:sz w:val="28"/>
          <w:b/>
        </w:rPr>
        <w:t>汉中市南郑区塘坎中学</w:t>
      </w:r>
    </w:p>
    <w:p>
      <w:pPr>
        <w:pStyle w:val="null3"/>
        <w:jc w:val="center"/>
        <w:outlineLvl w:val="2"/>
      </w:pPr>
      <w:r>
        <w:rPr>
          <w:rFonts w:ascii="仿宋_GB2312" w:hAnsi="仿宋_GB2312" w:cs="仿宋_GB2312" w:eastAsia="仿宋_GB2312"/>
          <w:sz w:val="28"/>
          <w:b/>
        </w:rPr>
        <w:t>陕西中正浩华项目管理有限公司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陕西中正浩华项目管理有限公司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汉中市南郑区塘坎中学</w:t>
      </w:r>
      <w:r>
        <w:rPr>
          <w:rFonts w:ascii="仿宋_GB2312" w:hAnsi="仿宋_GB2312" w:cs="仿宋_GB2312" w:eastAsia="仿宋_GB2312"/>
        </w:rPr>
        <w:t>委托，拟对</w:t>
      </w:r>
      <w:r>
        <w:rPr>
          <w:rFonts w:ascii="仿宋_GB2312" w:hAnsi="仿宋_GB2312" w:cs="仿宋_GB2312" w:eastAsia="仿宋_GB2312"/>
        </w:rPr>
        <w:t>汉中市南郑区中小学幼儿园消防能力提升项目（塘坎中学）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ZZHHCG-2026-0102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汉中市南郑区中小学幼儿园消防能力提升项目（塘坎中学）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汉中市南郑区中小学幼儿园消防能力提升项目（塘坎中学）主要建设内容为：新建消防水池、木门窗拆除、安装防火门、乳胶漆修补、真石漆修补、餐厅吊顶拆除、新作铝扣板吊顶以及安装指示灯。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采购包1（汉中市南郑区中小学幼儿园消防能力提升项目 (塘坎中学)）：属于专门面向中小企业采购。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定代表人身份证明(附法定代表人身份证复印件);法定代表人授权代表参加磋商的，须出具法定代表人身份证明及法定代表人授权书(附法定代表人身份证复印件及被授权人身份证复印件);</w:t>
      </w:r>
    </w:p>
    <w:p>
      <w:pPr>
        <w:pStyle w:val="null3"/>
      </w:pPr>
      <w:r>
        <w:rPr>
          <w:rFonts w:ascii="仿宋_GB2312" w:hAnsi="仿宋_GB2312" w:cs="仿宋_GB2312" w:eastAsia="仿宋_GB2312"/>
        </w:rPr>
        <w:t>3、企业资质要求：供应商须具备【建筑工程施工总承包三级]及以上资质并提供有效的安全生产许可证书；</w:t>
      </w:r>
    </w:p>
    <w:p>
      <w:pPr>
        <w:pStyle w:val="null3"/>
      </w:pPr>
      <w:r>
        <w:rPr>
          <w:rFonts w:ascii="仿宋_GB2312" w:hAnsi="仿宋_GB2312" w:cs="仿宋_GB2312" w:eastAsia="仿宋_GB2312"/>
        </w:rPr>
        <w:t>4、项目经理资质要求：拟派项目经理应具备【注册建造师二级】及以上执业资格（建筑工程专业），具备有效的安全生产考核合格证书（建安B证），无在建工程（提供承诺书）；</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pPr>
      <w:r>
        <w:rPr>
          <w:rFonts w:ascii="仿宋_GB2312" w:hAnsi="仿宋_GB2312" w:cs="仿宋_GB2312" w:eastAsia="仿宋_GB2312"/>
        </w:rPr>
        <w:t>6、投标保证金：投标保证金转账或保函截图。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汉中市南郑区塘坎中学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陕西省汉中市南郑区胡家营镇塘坎村4组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南郑县塘坎中学经办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13992624339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陕西中正浩华项目管理有限公司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陕西省汉中市南郑区渔营路与江古路十字路口凯奇酒店东侧二楼商铺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廖浩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18165118328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采购包1：272,900.00元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开户名称：陕西中正浩华项目管理有限公司</w:t>
            </w:r>
          </w:p>
          <w:p>
            <w:pPr>
              <w:pStyle w:val="null3"/>
            </w:pPr>
            <w:r>
              <w:rPr>
                <w:rFonts w:ascii="仿宋_GB2312" w:hAnsi="仿宋_GB2312" w:cs="仿宋_GB2312" w:eastAsia="仿宋_GB2312"/>
              </w:rPr>
              <w:t>开户银行：中国建设银行股份有限公司汉中南郑区支行</w:t>
            </w:r>
          </w:p>
          <w:p>
            <w:pPr>
              <w:pStyle w:val="null3"/>
            </w:pPr>
            <w:r>
              <w:rPr>
                <w:rFonts w:ascii="仿宋_GB2312" w:hAnsi="仿宋_GB2312" w:cs="仿宋_GB2312" w:eastAsia="仿宋_GB2312"/>
              </w:rPr>
              <w:t>银行账号：61050165711100001115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代理服务费收费标准：1、参照国家计委计价格[2002]1980号及发改办价格[2003]857号通知规定，由中标人支付代理服务费。代理服务费缴纳账号：账户名称：陕西中正浩华项目管理有限公司 开户行：中国建设银行股份有限公司汉中南郑区支行 银行账号：61050165711100001115(备注：汉中市南郑区中小学幼儿园消防能力提升项目（塘坎中学）代理服务费） 2、本项目采购代理费按工程计取。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汉中市南郑区塘坎中学</w:t>
      </w:r>
      <w:r>
        <w:rPr>
          <w:rFonts w:ascii="仿宋_GB2312" w:hAnsi="仿宋_GB2312" w:cs="仿宋_GB2312" w:eastAsia="仿宋_GB2312"/>
        </w:rPr>
        <w:t>和</w:t>
      </w:r>
      <w:r>
        <w:rPr>
          <w:rFonts w:ascii="仿宋_GB2312" w:hAnsi="仿宋_GB2312" w:cs="仿宋_GB2312" w:eastAsia="仿宋_GB2312"/>
        </w:rPr>
        <w:t>陕西中正浩华项目管理有限公司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汉中市南郑区塘坎中学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陕西中正浩华项目管理有限公司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汉中市南郑区塘坎中学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陕西中正浩华项目管理有限公司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联系人：廖浩</w:t>
      </w:r>
    </w:p>
    <w:p>
      <w:pPr>
        <w:pStyle w:val="null3"/>
      </w:pPr>
      <w:r>
        <w:rPr>
          <w:rFonts w:ascii="仿宋_GB2312" w:hAnsi="仿宋_GB2312" w:cs="仿宋_GB2312" w:eastAsia="仿宋_GB2312"/>
        </w:rPr>
        <w:t>联系电话：18165118328</w:t>
      </w:r>
    </w:p>
    <w:p>
      <w:pPr>
        <w:pStyle w:val="null3"/>
      </w:pPr>
      <w:r>
        <w:rPr>
          <w:rFonts w:ascii="仿宋_GB2312" w:hAnsi="仿宋_GB2312" w:cs="仿宋_GB2312" w:eastAsia="仿宋_GB2312"/>
        </w:rPr>
        <w:t>地址：陕西省汉中市南郑区渔营路与江古路十字路口凯奇酒店东侧二楼商铺</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272,900.00</w:t>
      </w:r>
    </w:p>
    <w:p>
      <w:pPr>
        <w:pStyle w:val="null3"/>
      </w:pPr>
      <w:r>
        <w:rPr>
          <w:rFonts w:ascii="仿宋_GB2312" w:hAnsi="仿宋_GB2312" w:cs="仿宋_GB2312" w:eastAsia="仿宋_GB2312"/>
        </w:rPr>
        <w:t>采购包最高限价（元）: 272,829.78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汉中市南郑区中小学幼儿园消防能力提升项目 (塘坎中学)</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272,900.00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标的名称：汉中市南郑区中小学幼儿园消防能力提升项目 (塘坎中学)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汉中市南郑区中小学幼儿园消防能力提升项目（塘坎中学）位于汉中市南郑区胡家营镇</w:t>
            </w:r>
            <w:r>
              <w:rPr>
                <w:rFonts w:ascii="仿宋_GB2312" w:hAnsi="仿宋_GB2312" w:cs="仿宋_GB2312" w:eastAsia="仿宋_GB2312"/>
                <w:sz w:val="21"/>
              </w:rPr>
              <w:t>塘坎中学</w:t>
            </w:r>
            <w:r>
              <w:rPr>
                <w:rFonts w:ascii="仿宋_GB2312" w:hAnsi="仿宋_GB2312" w:cs="仿宋_GB2312" w:eastAsia="仿宋_GB2312"/>
                <w:sz w:val="21"/>
              </w:rPr>
              <w:t>校园内，主要建设内容为：新建消防水池、木门窗拆除、安装防火门、乳胶漆修补、真石漆修补、餐厅吊顶拆除、新作铝扣板吊顶以及安装指示灯。</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编制依据</w:t>
            </w:r>
          </w:p>
          <w:p>
            <w:pPr>
              <w:pStyle w:val="null3"/>
              <w:ind w:firstLine="580"/>
              <w:jc w:val="left"/>
            </w:pPr>
            <w:r>
              <w:rPr>
                <w:rFonts w:ascii="仿宋_GB2312" w:hAnsi="仿宋_GB2312" w:cs="仿宋_GB2312" w:eastAsia="仿宋_GB2312"/>
                <w:sz w:val="28"/>
              </w:rPr>
              <w:t>1、</w:t>
            </w:r>
            <w:r>
              <w:rPr>
                <w:rFonts w:ascii="仿宋_GB2312" w:hAnsi="仿宋_GB2312" w:cs="仿宋_GB2312" w:eastAsia="仿宋_GB2312"/>
                <w:sz w:val="28"/>
              </w:rPr>
              <w:t>汉中市南郑区塘坎中学校园消防整改项目施工图</w:t>
            </w:r>
            <w:r>
              <w:rPr>
                <w:rFonts w:ascii="仿宋_GB2312" w:hAnsi="仿宋_GB2312" w:cs="仿宋_GB2312" w:eastAsia="仿宋_GB2312"/>
                <w:sz w:val="28"/>
              </w:rPr>
              <w:t>；</w:t>
            </w:r>
          </w:p>
          <w:p>
            <w:pPr>
              <w:pStyle w:val="null3"/>
              <w:ind w:right="-45" w:firstLine="560"/>
              <w:jc w:val="both"/>
            </w:pPr>
            <w:r>
              <w:rPr>
                <w:rFonts w:ascii="仿宋_GB2312" w:hAnsi="仿宋_GB2312" w:cs="仿宋_GB2312" w:eastAsia="仿宋_GB2312"/>
                <w:sz w:val="28"/>
              </w:rPr>
              <w:t>2、《陕西省住房和城乡建设厅关于印发2025陕西省建设工程费用规则等计价依据的通知》陕建管发(2025)10号文件；</w:t>
            </w:r>
          </w:p>
          <w:p>
            <w:pPr>
              <w:pStyle w:val="null3"/>
              <w:ind w:right="-45" w:firstLine="560"/>
              <w:jc w:val="both"/>
            </w:pPr>
            <w:r>
              <w:rPr>
                <w:rFonts w:ascii="仿宋_GB2312" w:hAnsi="仿宋_GB2312" w:cs="仿宋_GB2312" w:eastAsia="仿宋_GB2312"/>
                <w:sz w:val="28"/>
              </w:rPr>
              <w:t>3、《陕西省建设工程费用规则》(2025)、《建设工程工程量清单计价标准》(2025)及其配套文件；</w:t>
            </w:r>
          </w:p>
          <w:p>
            <w:pPr>
              <w:pStyle w:val="null3"/>
              <w:ind w:right="-45" w:firstLine="560"/>
              <w:jc w:val="both"/>
            </w:pPr>
            <w:r>
              <w:rPr>
                <w:rFonts w:ascii="仿宋_GB2312" w:hAnsi="仿宋_GB2312" w:cs="仿宋_GB2312" w:eastAsia="仿宋_GB2312"/>
                <w:sz w:val="28"/>
              </w:rPr>
              <w:t>4、《陕西省房屋建筑与装饰工程消耗量定额》(2025)、《陕西省通用安装工程消耗量定额》(2025)、《陕西省园林绿化工程消耗量定额》（2005）、《陕西省市政工程消耗量定额》（2005）；</w:t>
            </w:r>
          </w:p>
          <w:p>
            <w:pPr>
              <w:pStyle w:val="null3"/>
              <w:ind w:right="-45" w:firstLine="560"/>
              <w:jc w:val="both"/>
            </w:pPr>
            <w:r>
              <w:rPr>
                <w:rFonts w:ascii="仿宋_GB2312" w:hAnsi="仿宋_GB2312" w:cs="仿宋_GB2312" w:eastAsia="仿宋_GB2312"/>
                <w:sz w:val="28"/>
              </w:rPr>
              <w:t>5、《陕西省房屋建筑与装饰工程基价表》(2025)、《陕西省通用安装工程基价表》(2025)、《陕西省园林绿化工程基价表》（2005）、《陕西省市政工程计价表》（2005）；</w:t>
            </w:r>
          </w:p>
          <w:p>
            <w:pPr>
              <w:pStyle w:val="null3"/>
              <w:ind w:right="-45" w:firstLine="560"/>
              <w:jc w:val="both"/>
            </w:pPr>
            <w:r>
              <w:rPr>
                <w:rFonts w:ascii="仿宋_GB2312" w:hAnsi="仿宋_GB2312" w:cs="仿宋_GB2312" w:eastAsia="仿宋_GB2312"/>
                <w:sz w:val="28"/>
              </w:rPr>
              <w:t>6、《汉中建设工程造价信息(2025)》第10期信息价及市场询价，</w:t>
            </w:r>
          </w:p>
          <w:p>
            <w:pPr>
              <w:pStyle w:val="null3"/>
              <w:ind w:right="-45" w:firstLine="560"/>
              <w:jc w:val="both"/>
            </w:pPr>
            <w:r>
              <w:rPr>
                <w:rFonts w:ascii="仿宋_GB2312" w:hAnsi="仿宋_GB2312" w:cs="仿宋_GB2312" w:eastAsia="仿宋_GB2312"/>
                <w:sz w:val="28"/>
              </w:rPr>
              <w:t>7、本工程清单编制软件为:广联达云计价平台GCCP7.0。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中标人在中标结果发布后3个工作日内向代理机构提交纸质版投标文件以便于存档，响应文件正本1份，副本2份，电子版文件2份（以U盘为载体，电子版内容为签字盖章扫描后的PDF版本投标文件）。纸质响应文件均须A4纸打印，分别各自装订成册并编制目录和页码。 2.线下递交响应文件地点： 陕西省汉中市南郑区渔营路与江古路十字路口凯奇酒店东侧二楼商铺。 3.如投标文件中融资相关内容与新政策要求有出入，按照最新要求执行。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定代表人身份证明(附法定代表人身份证复印件);法定代表人授权代表参加磋商的，须出具法定代表人身份证明及法定代表人授权书(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拟派项目经理应具备【注册建造师二级】及以上执业资格（建筑工程专业），具备有效的安全生产考核合格证书（建安B证），无在建工程（提供承诺书）；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投标保证金转账或保函截图。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一、评审内容：供应商针对本项目编制完善的施工方案， 内容包含但不限于：①具体施工内容；② 施工方法（工艺）；③施工次序；④应急方案； ⑤施工准备：技术准备、材料准备、机械准备、机具准备、劳动力准备等；二、评审标准 ：1 、完整性：方案必须全面，对评审内容中的各项要求有详细描述；2 、可实施性：切合本项目实际情况，提出步骤清晰、合理的方案；3 、针对性：方案能够紧扣项目实际情况，内容科学合理。 三、赋分标准（满分15分）： ①具体施工内容：每完全满足一个评审标准得1分，满分3分； ②施工方法（工艺）：每完全满足一个评审标准得1分，满分3分； ③施工次序：每完全满足一个评审标准得1分，满分3分；④应急方案：每完全满足一个评审标准得1分，满分3分；⑤施工准备：技术准备、材料准备、机械准备、机具准备、劳动力准备等：每完全满足一个评审标准得1分，满分3分④未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一、评审内容：供应商针对本项目编制完善的施工进度计划，内容包含但不限于： ①施工进度计划横道图； ②进度计划保证措施 ；③工期保证措施 。 二、评审标准 ：1 、完整性：方案必须全面，对评审内容中的各项要求有详细描述；2 、可实施性： 切合本项目实际情况，提出步骤清晰、合理的方案；3 、针对性：方案能够紧扣项目实际情况，内容科学合理。 三、赋分标准（满分9 .0分）： ①施工进度计划横道图：每完全满足一个评审标准得1 .0分，满分3 .0分； ②进度计划保证措施 ：每完全满足一个评审标准得1 .0分，满分3 .0分； ③工期保证措施 ：每完全满足一个评审标准得1 .0分，满分3 .0分；④未提供者不得分。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一、评审内容：供应商针对本项目编制完善的质量保证措施，内容包含但不限于：①施工质量的检验制度；②确保质量的技术组织措施；③施工质量控制措施；④施工质量管理体系。 二、评审标准 ：1、完整性：方案必须全面，对评审内容中的各项要求有详细描述； 2、可实施性：切合本项目实际情况，提出步骤清晰、合理的方案； 3、针对性：方案能够紧扣项目实际情况，内容科学合理。 三、赋分标准 （满分12分）： ①施工质量检验制度：每完全满足一个评审标准得1分，满分3分； ②确保质量的技术组织措施：每完全满足一个评审标准得1分，满分3分； ③施工质量控制措施：每完全满足一个评审标准得1 分，满分3分；④施工质量管理体系：每完全满足一个评审标准得1 分，满分3分；⑤未提供者不得分。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一、评审内容：供应商针对本项目编制完善的资源配置计划，内容包含但不限于： ①劳动力资源配置计划； ②施工机械设备投入计划； ③主要施工材料供应计划。 二、评审标准： 1 、完整性：方案必须全面，对评审内容中的各项要求有详细描述； 2 、可实施性：切合本项目实际情况 , 提出步骤清晰、合理的方案； 3 、针对性：方案能够紧扣项目实际情况，内容科学合理。 三、赋分标准（满分9分）：①劳动力资源配置计划：每完全满足一个评审标准得1分，满分3分； ②施工机械设备投入计划：每完全满足一个评审标准得1分，满分3分； ③主要施工材料供应计划：每完全满足一个评审标准得1分，满分3分；④未提供者不得分。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一、评审内容：供应商针对本项目编制完整的安全施工措施，内容包含但不限于： ①安全生产管理制度； ②安全施工措施； ③安全应急预案； ④安全生产教育。 二、评审标准 ：1 、完整性：方案必须全面，对评审内容中的各项要求有详细描述； 2、可实施性：切合本项目实际情况，提出步骤清晰、合理的方案； 3、针对性：方案能够紧扣项目实际情况，内容科学合理。 三、赋分标准（满分9分）： ①安全生产管理制度：每完全满足一个评审标准得0 . 5分，满分1 . 5分； ②安全施工措施 ：每完全满足一个评审标准得1分 , 满分3分； ③安全应急预案：每完全满足一个评审标准得1分，满分3分； ④安全生产教育：每完全满足一个评审标准得0 . 5分，满分1. 5分；⑤未提供者不得分。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一、评审内容：供应商针对本项目编制完整的文明施工措施，内容包含但不限于： ①文明施工管理目标及技术措施； ②文明施工现场管理：材料管理、防扰民措施。 二、评审标准： 1 、完整性：方案必须全面，对评审内容中的各项要求有详细描述； 2 、可实施性：切合本项目实际情况，提出步骤清晰、合理的方案； 3 、针对性：方案能够紧扣项目实际情况，内容科学合理。 三、赋分标准（满分6分）： ①文明施工管理目标及技术措施：每完全满足一个评审标准得1分，满分3分； ②文明施工现场管理：每完全满足一个评审标准得1分，满分3分；③未提供者不得分。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供应商针对本项目编制完善的项目经理部组织机构，内容包含但不限于： ①项目成员配置清单及架构；项目组配备人员的专业素质、人员结构； ② 项目成员的主要职责及工作内容。 二、评审标准 ： 1 、完整性：方案必须全面，对评审内容中的各项要求有详细描述 ； 2 、可实施性：切合本项目实际情况，提出步骤清晰、合理的方案 ； 3 、针对性：方案能够紧扣项目实际情况，内容科学合理。 三、赋分标准（满分6分） ①项目成员配置清单及架构；项目组配备人员的专业素质、人员结构：每完全满足一个评审标准得1分，满分3分； ②项目成员的主要职责及工作内容：每完全满足一个评审标准得1分，满分3分；③未提供者不得分。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 , 供应商应依据国家相关规定对工程质量编制保修方案，内容包含但不限于：①维修措施；②保修责任；③保修承诺。 二、评审标准 ：1 、完整性 ：内容必须全面，对评审内容中的各项要求有详细描述； 2 、落实性 ：切合项目具体情况，提出责任明确、要求具体的方案； 3 、针对性 ：内容能够紧扣项目实际情况，内容科学合理。 三、赋分标准（满分9 分）： ①维修措施：每完全满足一个评审标准得1分，满分3分； ②保修责任：每完全满足一个评审标准得1分，满分3分； ③保修承诺：每完全满足一个评审标准得1分，满分3分；④未提供者不得分。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