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版本号：XHHZ-ZC26000120260108001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汉中市南郑区城市内涝治理及雨污混接改造项目(汉山片区)监理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XHHZ-ZC260001</w:t>
      </w:r>
      <w:r>
        <w:br/>
      </w:r>
      <w:r>
        <w:br/>
      </w:r>
      <w:r>
        <w:br/>
      </w:r>
    </w:p>
    <w:p>
      <w:pPr>
        <w:pStyle w:val="null3"/>
        <w:jc w:val="center"/>
        <w:outlineLvl w:val="2"/>
      </w:pPr>
      <w:r>
        <w:rPr>
          <w:rFonts w:ascii="仿宋_GB2312" w:hAnsi="仿宋_GB2312" w:cs="仿宋_GB2312" w:eastAsia="仿宋_GB2312"/>
          <w:sz w:val="28"/>
          <w:b/>
        </w:rPr>
        <w:t>汉中市南郑区城市管理局</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汉中市南郑区城市管理局</w:t>
      </w:r>
      <w:r>
        <w:rPr>
          <w:rFonts w:ascii="仿宋_GB2312" w:hAnsi="仿宋_GB2312" w:cs="仿宋_GB2312" w:eastAsia="仿宋_GB2312"/>
        </w:rPr>
        <w:t>委托，拟对</w:t>
      </w:r>
      <w:r>
        <w:rPr>
          <w:rFonts w:ascii="仿宋_GB2312" w:hAnsi="仿宋_GB2312" w:cs="仿宋_GB2312" w:eastAsia="仿宋_GB2312"/>
        </w:rPr>
        <w:t>汉中市南郑区城市内涝治理及雨污混接改造项目(汉山片区)监理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XHHZ-ZC260001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汉中市南郑区城市内涝治理及雨污混接改造项目(汉山片区)监理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本项目位于汉中市南郑区汉山片区，共涉及周坪巷、城关小学西侧小巷、东大街小巷、新华巷、自强路、人民路、南 郑大道支管、幸福路、周家坪路、协税路、汤家河段、石燕河排洪渠段。主要建设内容为：（一）混接点改造工程:改造 DN300-d1200雨水管道10246m(其中DN600-d1000水主管6516m，DN600-d1200预埋管1472m，DN300雨水口 连接管2258m)，钢筋混凝土雨水检查井209座，并设置雨水口352座:改造DN300-DN400污水管道4291m(其中 DN300-DN400污水主管4023m，DN300预埋管268m)，并设置钢混凝土污水检查井 151座；（二）内涝治理工程:改 造排洪渠934m(顶宽7m，渠深3m)。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3、供应商资质：供应商须具备建设行政主管部门核发的工程监理综合资质或市政公用工程监理甲级资质；</w:t>
      </w:r>
    </w:p>
    <w:p>
      <w:pPr>
        <w:pStyle w:val="null3"/>
      </w:pPr>
      <w:r>
        <w:rPr>
          <w:rFonts w:ascii="仿宋_GB2312" w:hAnsi="仿宋_GB2312" w:cs="仿宋_GB2312" w:eastAsia="仿宋_GB2312"/>
        </w:rPr>
        <w:t>4、项目总监资格：项目总监须具备市政公用工程专业国家注册监理工程师执业资格，在本单位注册，且未担任其他在建工程项目的总监理工程师；</w:t>
      </w:r>
    </w:p>
    <w:p>
      <w:pPr>
        <w:pStyle w:val="null3"/>
      </w:pPr>
      <w:r>
        <w:rPr>
          <w:rFonts w:ascii="仿宋_GB2312" w:hAnsi="仿宋_GB2312" w:cs="仿宋_GB2312" w:eastAsia="仿宋_GB2312"/>
        </w:rPr>
        <w:t>5、供应商资格承诺函：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6、中小企业声明函：本项目专门面向中小企业采购，供应商应为中小微企业，填写中小企业声明函并对真实性负责;</w:t>
      </w:r>
    </w:p>
    <w:p>
      <w:pPr>
        <w:pStyle w:val="null3"/>
      </w:pPr>
      <w:r>
        <w:rPr>
          <w:rFonts w:ascii="仿宋_GB2312" w:hAnsi="仿宋_GB2312" w:cs="仿宋_GB2312" w:eastAsia="仿宋_GB2312"/>
        </w:rPr>
        <w:t>7、本项目不接受联合体：本项目不接受联合体磋商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汉中市南郑区城市管理局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南郑区汉山街道办南环路中段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0916-5519008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开户名称：信宏工程咨询有限公司汉中分公司</w:t>
            </w:r>
          </w:p>
          <w:p>
            <w:pPr>
              <w:pStyle w:val="null3"/>
            </w:pPr>
            <w:r>
              <w:rPr>
                <w:rFonts w:ascii="仿宋_GB2312" w:hAnsi="仿宋_GB2312" w:cs="仿宋_GB2312" w:eastAsia="仿宋_GB2312"/>
              </w:rPr>
              <w:t>开户银行：中国工商银行汉中北团结街支行</w:t>
            </w:r>
          </w:p>
          <w:p>
            <w:pPr>
              <w:pStyle w:val="null3"/>
            </w:pPr>
            <w:r>
              <w:rPr>
                <w:rFonts w:ascii="仿宋_GB2312" w:hAnsi="仿宋_GB2312" w:cs="仿宋_GB2312" w:eastAsia="仿宋_GB2312"/>
              </w:rPr>
              <w:t>银行账号：2606050309200299536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汉中市南郑区城市管理局</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汉中市南郑区城市管理局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汉中市南郑区城市管理局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按建设工程监理规范要求，符合国家、行业标准执行。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地址：西安市曲江新区雁塔南路金辉环球中心C座514室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汉中市南郑区汉山片区，共涉及周坪巷、城关小学西侧小巷、东大街小巷、新华巷、自强路、人民路、南郑大道支管、幸福路、周家坪路、协税路、汤家河段、石燕河排洪渠段。主要建设内容为：（一）混接点改造工程:改造DN300-d1200雨水管道10246m(其中DN600-d1000水主管6516m，DN600-d1200预埋管1472m，DN300雨水口连接管2258m)，钢筋混凝土雨水检查井209座，并设置雨水口352座:改造DN300-DN400污水管道4291m(其中DN300-DN400污水主管4023m，DN300预埋管268m)，并设置钢混凝土污水检查井 151座；（二）内涝治理工程:改造排洪渠934m(顶宽7m，渠深3m)。</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983,000.00</w:t>
      </w:r>
    </w:p>
    <w:p>
      <w:pPr>
        <w:pStyle w:val="null3"/>
      </w:pPr>
      <w:r>
        <w:rPr>
          <w:rFonts w:ascii="仿宋_GB2312" w:hAnsi="仿宋_GB2312" w:cs="仿宋_GB2312" w:eastAsia="仿宋_GB2312"/>
        </w:rPr>
        <w:t>采购包最高限价（元）: 983,000.00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一、采购内容</w:t>
            </w:r>
          </w:p>
          <w:p>
            <w:pPr>
              <w:pStyle w:val="null3"/>
              <w:ind w:firstLine="420"/>
              <w:jc w:val="both"/>
            </w:pPr>
            <w:r>
              <w:rPr>
                <w:rFonts w:ascii="仿宋_GB2312" w:hAnsi="仿宋_GB2312" w:cs="仿宋_GB2312" w:eastAsia="仿宋_GB2312"/>
                <w:sz w:val="21"/>
              </w:rPr>
              <w:t>采购工程全过程施工监理服务，服务范围涵盖施工准备阶段、施工实施阶段、各环节专项验收、竣工验收及竣工资料移交的全流程监理工作。</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商务要求及其他</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服务地点</w:t>
            </w:r>
            <w:r>
              <w:rPr>
                <w:rFonts w:ascii="仿宋_GB2312" w:hAnsi="仿宋_GB2312" w:cs="仿宋_GB2312" w:eastAsia="仿宋_GB2312"/>
                <w:sz w:val="21"/>
              </w:rPr>
              <w:t>：</w:t>
            </w:r>
            <w:r>
              <w:rPr>
                <w:rFonts w:ascii="仿宋_GB2312" w:hAnsi="仿宋_GB2312" w:cs="仿宋_GB2312" w:eastAsia="仿宋_GB2312"/>
                <w:sz w:val="21"/>
              </w:rPr>
              <w:t>汉中市南郑区汉山片区</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服务期限</w:t>
            </w:r>
            <w:r>
              <w:rPr>
                <w:rFonts w:ascii="仿宋_GB2312" w:hAnsi="仿宋_GB2312" w:cs="仿宋_GB2312" w:eastAsia="仿宋_GB2312"/>
                <w:sz w:val="21"/>
              </w:rPr>
              <w:t>：</w:t>
            </w:r>
            <w:r>
              <w:rPr>
                <w:rFonts w:ascii="仿宋_GB2312" w:hAnsi="仿宋_GB2312" w:cs="仿宋_GB2312" w:eastAsia="仿宋_GB2312"/>
                <w:sz w:val="21"/>
              </w:rPr>
              <w:t>从工程施工之日起至竣工验收、资料档案备案、保修期满之日止</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质量要求：工程质量达到国家现行《施工质量验收规范》合格标准。</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rPr>
              <w:t>、工程监理标准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&lt;&lt;</w:t>
            </w:r>
            <w:r>
              <w:rPr>
                <w:rFonts w:ascii="仿宋_GB2312" w:hAnsi="仿宋_GB2312" w:cs="仿宋_GB2312" w:eastAsia="仿宋_GB2312"/>
                <w:sz w:val="21"/>
              </w:rPr>
              <w:t>建设工程监理规范</w:t>
            </w:r>
            <w:r>
              <w:rPr>
                <w:rFonts w:ascii="仿宋_GB2312" w:hAnsi="仿宋_GB2312" w:cs="仿宋_GB2312" w:eastAsia="仿宋_GB2312"/>
                <w:sz w:val="21"/>
              </w:rPr>
              <w:t>&gt;&gt;(GB/T 50319-2013)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、除合同另有约定外，本工程适用现行国家、省、市、行业和地方规范、标准和规</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、规范、标准和规程如发生不一致时，则以要求最为严格的规范、规程或标准作为工作依据。</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、在合同履行期间，监理人应满足委托人的特定技术要求，满足设计要求，满足陕西省及汉中市的有关强制性规定</w:t>
            </w:r>
            <w:r>
              <w:rPr>
                <w:rFonts w:ascii="仿宋_GB2312" w:hAnsi="仿宋_GB2312" w:cs="仿宋_GB2312" w:eastAsia="仿宋_GB2312"/>
                <w:sz w:val="21"/>
              </w:rPr>
              <w:t>;</w:t>
            </w:r>
            <w:r>
              <w:rPr>
                <w:rFonts w:ascii="仿宋_GB2312" w:hAnsi="仿宋_GB2312" w:cs="仿宋_GB2312" w:eastAsia="仿宋_GB2312"/>
                <w:sz w:val="21"/>
              </w:rPr>
              <w:t>监理人应严格执行中华人民共和国强制性标准，执行现行的或即将颁布的行业标准、规范</w:t>
            </w:r>
            <w:r>
              <w:rPr>
                <w:rFonts w:ascii="仿宋_GB2312" w:hAnsi="仿宋_GB2312" w:cs="仿宋_GB2312" w:eastAsia="仿宋_GB2312"/>
                <w:sz w:val="21"/>
              </w:rPr>
              <w:t>;</w:t>
            </w:r>
            <w:r>
              <w:rPr>
                <w:rFonts w:ascii="仿宋_GB2312" w:hAnsi="仿宋_GB2312" w:cs="仿宋_GB2312" w:eastAsia="仿宋_GB2312"/>
                <w:sz w:val="21"/>
              </w:rPr>
              <w:t>如有新颁国家标准及行业标准、规范，委托人指令执行时，监理人应当执行。</w:t>
            </w:r>
          </w:p>
          <w:p>
            <w:pPr>
              <w:pStyle w:val="null3"/>
              <w:ind w:firstLine="422"/>
              <w:jc w:val="both"/>
            </w:pPr>
            <w:r>
              <w:rPr>
                <w:rFonts w:ascii="仿宋_GB2312" w:hAnsi="仿宋_GB2312" w:cs="仿宋_GB2312" w:eastAsia="仿宋_GB2312"/>
                <w:sz w:val="21"/>
                <w:b/>
              </w:rPr>
              <w:t>四</w:t>
            </w:r>
            <w:r>
              <w:rPr>
                <w:rFonts w:ascii="仿宋_GB2312" w:hAnsi="仿宋_GB2312" w:cs="仿宋_GB2312" w:eastAsia="仿宋_GB2312"/>
                <w:sz w:val="21"/>
                <w:b/>
              </w:rPr>
              <w:t>、违约责任</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、按</w:t>
            </w:r>
            <w:r>
              <w:rPr>
                <w:rFonts w:ascii="仿宋_GB2312" w:hAnsi="仿宋_GB2312" w:cs="仿宋_GB2312" w:eastAsia="仿宋_GB2312"/>
                <w:sz w:val="21"/>
              </w:rPr>
              <w:t>&lt;&lt;</w:t>
            </w:r>
            <w:r>
              <w:rPr>
                <w:rFonts w:ascii="仿宋_GB2312" w:hAnsi="仿宋_GB2312" w:cs="仿宋_GB2312" w:eastAsia="仿宋_GB2312"/>
                <w:sz w:val="21"/>
              </w:rPr>
              <w:t>中华人民共和国民法典</w:t>
            </w:r>
            <w:r>
              <w:rPr>
                <w:rFonts w:ascii="仿宋_GB2312" w:hAnsi="仿宋_GB2312" w:cs="仿宋_GB2312" w:eastAsia="仿宋_GB2312"/>
                <w:sz w:val="21"/>
              </w:rPr>
              <w:t>&gt;&gt;</w:t>
            </w:r>
            <w:r>
              <w:rPr>
                <w:rFonts w:ascii="仿宋_GB2312" w:hAnsi="仿宋_GB2312" w:cs="仿宋_GB2312" w:eastAsia="仿宋_GB2312"/>
                <w:sz w:val="21"/>
              </w:rPr>
              <w:t>中的相关条款执行。</w:t>
            </w:r>
          </w:p>
          <w:p>
            <w:pPr>
              <w:pStyle w:val="null3"/>
            </w:pPr>
            <w:r>
              <w:rPr>
                <w:rFonts w:ascii="仿宋_GB2312" w:hAnsi="仿宋_GB2312" w:cs="仿宋_GB2312" w:eastAsia="仿宋_GB2312"/>
                <w:sz w:val="21"/>
              </w:rPr>
              <w:t xml:space="preserve">         2</w:t>
            </w:r>
            <w:r>
              <w:rPr>
                <w:rFonts w:ascii="仿宋_GB2312" w:hAnsi="仿宋_GB2312" w:cs="仿宋_GB2312" w:eastAsia="仿宋_GB2312"/>
                <w:sz w:val="21"/>
              </w:rPr>
              <w:t>、未按合同要求提供服务及服务质量不能满足技术要求，采购人有权终止合同，并对供方违约行为进行追究，同时按</w:t>
            </w:r>
            <w:r>
              <w:rPr>
                <w:rFonts w:ascii="仿宋_GB2312" w:hAnsi="仿宋_GB2312" w:cs="仿宋_GB2312" w:eastAsia="仿宋_GB2312"/>
                <w:sz w:val="21"/>
              </w:rPr>
              <w:t>&lt;&lt;</w:t>
            </w:r>
            <w:r>
              <w:rPr>
                <w:rFonts w:ascii="仿宋_GB2312" w:hAnsi="仿宋_GB2312" w:cs="仿宋_GB2312" w:eastAsia="仿宋_GB2312"/>
                <w:sz w:val="21"/>
              </w:rPr>
              <w:t>中华人民共和国政府采购法</w:t>
            </w:r>
            <w:r>
              <w:rPr>
                <w:rFonts w:ascii="仿宋_GB2312" w:hAnsi="仿宋_GB2312" w:cs="仿宋_GB2312" w:eastAsia="仿宋_GB2312"/>
                <w:sz w:val="21"/>
              </w:rPr>
              <w:t>&gt;&gt;</w:t>
            </w:r>
            <w:r>
              <w:rPr>
                <w:rFonts w:ascii="仿宋_GB2312" w:hAnsi="仿宋_GB2312" w:cs="仿宋_GB2312" w:eastAsia="仿宋_GB2312"/>
                <w:sz w:val="21"/>
              </w:rPr>
              <w:t>的有关规定进行处罚。注</w:t>
            </w:r>
            <w:r>
              <w:rPr>
                <w:rFonts w:ascii="仿宋_GB2312" w:hAnsi="仿宋_GB2312" w:cs="仿宋_GB2312" w:eastAsia="仿宋_GB2312"/>
                <w:sz w:val="21"/>
              </w:rPr>
              <w:t>:</w:t>
            </w:r>
            <w:r>
              <w:rPr>
                <w:rFonts w:ascii="仿宋_GB2312" w:hAnsi="仿宋_GB2312" w:cs="仿宋_GB2312" w:eastAsia="仿宋_GB2312"/>
                <w:sz w:val="21"/>
              </w:rPr>
              <w:t>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为保证本项目的顺利实施，响应供应商应满足国家相关法律法规要求，须保证所涉及本项目设备设施来源渠道合法，配置参数达到相应的标准要求的设备。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从工程施工之日起至竣工验收、资料档案备案、保修期满之日止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符合国家相关监理规定和行业验收标准。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第一阶段：合同签订且监理单位完成进场准备、提交监理规划及实施细则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第二阶段：项目施工进度过半，监理单位完成对应阶段的质量、进度、安全监理工作，经发包人审核确认</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第三阶段：项目完成全部施工内容并通过竣工验收，监理单位提交完整的竣工验收监理报告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第四阶段：工程缺陷责任期届满，监理单位完成缺陷责任期监理工作、提交缺陷责任期监理总结报告，经发包人审核确认后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监理单位未履约或采购人逾期付款的，违约方承担相应责任；争议解决：合同争议先协商调解，协商调解不成的向项目所在地人民法院提起诉讼。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供应商须具备建设行政主管部门核发的工程监理综合资质或市政公用工程监理甲级资质；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项目总监资格</w:t>
            </w:r>
          </w:p>
        </w:tc>
        <w:tc>
          <w:tcPr>
            <w:tcW w:type="dxa" w:w="3322"/>
          </w:tcPr>
          <w:p>
            <w:pPr>
              <w:pStyle w:val="null3"/>
            </w:pPr>
            <w:r>
              <w:rPr>
                <w:rFonts w:ascii="仿宋_GB2312" w:hAnsi="仿宋_GB2312" w:cs="仿宋_GB2312" w:eastAsia="仿宋_GB2312"/>
              </w:rPr>
              <w:t>项目总监须具备市政公用工程专业国家注册监理工程师执业资格，在本单位注册，且未担任其他在建工程项目的总监理工程师；</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供应商应提交的相关资格证明材料.pdf 标的清单 磋商响应方案.pdf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供应商应提交的相关资格证明材料.pdf 标的清单 磋商响应方案.pdf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完全响应竞争性磋商文件要求的各项技术、商务实质性条款</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拟派总监理工程师</w:t>
            </w:r>
          </w:p>
        </w:tc>
        <w:tc>
          <w:tcPr>
            <w:tcW w:type="dxa" w:w="2492"/>
          </w:tcPr>
          <w:p>
            <w:pPr>
              <w:pStyle w:val="null3"/>
            </w:pPr>
            <w:r>
              <w:rPr>
                <w:rFonts w:ascii="仿宋_GB2312" w:hAnsi="仿宋_GB2312" w:cs="仿宋_GB2312" w:eastAsia="仿宋_GB2312"/>
              </w:rPr>
              <w:t>①拟派总监理工程师具有高级职称的得3分，中级职称得2分，未提供不得分，(提供职称证书扫描件)；②提供拟派总监理工程师2023年1月-至今的类似项目业绩证明材料，每提供1份得0.5分，最高得1分。未提供证明材料不得分，(提供合同或中标通知书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 部人员</w:t>
            </w:r>
          </w:p>
        </w:tc>
        <w:tc>
          <w:tcPr>
            <w:tcW w:type="dxa" w:w="2492"/>
          </w:tcPr>
          <w:p>
            <w:pPr>
              <w:pStyle w:val="null3"/>
            </w:pPr>
            <w:r>
              <w:rPr>
                <w:rFonts w:ascii="仿宋_GB2312" w:hAnsi="仿宋_GB2312" w:cs="仿宋_GB2312" w:eastAsia="仿宋_GB2312"/>
              </w:rPr>
              <w:t>根据拟在本项目中配备人员及岗位职责情况及其证明材料(数量、资质、经验、从业年限等)进行评审①配备市政公用工程专业监理工程师1人，监理员2人，且以上人员有三年及以上工作经验，完全满足得3分，多配备1人(具有三年及以上工作经验)得0.5分，最高加1分，满分4分。其他情况不得分。②配备资料员至少1人，且具有一年及以上工作经验得1分。 注:以上人员须提供相关证明材料,专业以注册证书或培训证书专业为准，工作经验以毕业时间为准。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投入的仪器、检测设备</w:t>
            </w:r>
          </w:p>
        </w:tc>
        <w:tc>
          <w:tcPr>
            <w:tcW w:type="dxa" w:w="2492"/>
          </w:tcPr>
          <w:p>
            <w:pPr>
              <w:pStyle w:val="null3"/>
            </w:pPr>
            <w:r>
              <w:rPr>
                <w:rFonts w:ascii="仿宋_GB2312" w:hAnsi="仿宋_GB2312" w:cs="仿宋_GB2312" w:eastAsia="仿宋_GB2312"/>
              </w:rPr>
              <w:t>主要试验检测仪器设备配备齐全、合理，由评标委员会根据各投标人所报试验检测设备清单进行评审：①仪器、检测设备配置一般得1分； ②仪器、检测设备配置基本满足要求得2分； ③仪器、检测设备配置齐全、合理、满足要求得3分。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监理工作目标</w:t>
            </w:r>
          </w:p>
        </w:tc>
        <w:tc>
          <w:tcPr>
            <w:tcW w:type="dxa" w:w="2492"/>
          </w:tcPr>
          <w:p>
            <w:pPr>
              <w:pStyle w:val="null3"/>
            </w:pPr>
            <w:r>
              <w:rPr>
                <w:rFonts w:ascii="仿宋_GB2312" w:hAnsi="仿宋_GB2312" w:cs="仿宋_GB2312" w:eastAsia="仿宋_GB2312"/>
              </w:rPr>
              <w:t>针对本项目需求提出适用于本项目的监理工作目标，方案包括但不限于:工作目标(涵盖项目整体监理工作方向、核心任务等)、进度目标(针对项目各阶段进度把控的具体目标、投资控制目标(项目投资估算、预算及结算的控制目标)、安全控制目标(项目施工过程中的安全管理目标，如零安全事故等)。 ①工作目标:方案详细具体科学合理且具有针对性、可行性得3分;方案明确具有一定的针对性、可行性得2分;方案合理性不足，无针对性、可行性，内容空洞，可行性差得1分。 ②进度目标:方案详细具体科学合理且具有针对性、可行性得3分;方案明确具有一定的针对性、可行性得2分;方案合理性不足，无针对性、可行性，内容空洞，可行性差得1分。 ③投资控制目标:方案详细具体科学合理且具有针对性、可行性得3分;方案明确具有一定的针对性、可行性得2分;方案合理性不足，无针对性、可行性，内容空洞，可行性差得1分。 ④安全控制目标:方案详细具体科学合理且具有针对性、可行性得3分;方案明确具有一定的针对性、可行性得2分;方案合理性不足，无针对性、可行性，内容空洞，可行性差得1分。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针对本项目需求提出适用于本项目的监理工作制度，方案包括但不限于:现场监理工作制度(包括现场巡查、旁站、平行检验等制度)、内部工作制度(包括监理人员岗位职责、内部沟通协调、绩效考核等制度)、相关服务工作制度(包括与建设单位、施工单位、设计单位等的协作制度)。 ①现场监理工作制度:方案详细具体科学合理且具有针对性、可行性得3分;方案明确具有一定的针对性、可行性得2分;方案合理性不足，无针对性、可行性，内容空洞，可行性差得1分。 ②内部工作制度:方案详细具体科学合理且具有针对性、可行性得3分;方案明确具有一定的针对性、可行性得2分;方案合理性不足，无针对性、可行性，内容空洞，可行性差得1分。 ③相关服务工作制度:方案详细具体科学合理且具有针对性、可行性得3分;方案明确具有一定的针对性、可行性得2分;方案合理性不足，无针对性、可行性，内容空洞，可行性差得1分。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监理资料与档案管理措施</w:t>
            </w:r>
          </w:p>
        </w:tc>
        <w:tc>
          <w:tcPr>
            <w:tcW w:type="dxa" w:w="2492"/>
          </w:tcPr>
          <w:p>
            <w:pPr>
              <w:pStyle w:val="null3"/>
            </w:pPr>
            <w:r>
              <w:rPr>
                <w:rFonts w:ascii="仿宋_GB2312" w:hAnsi="仿宋_GB2312" w:cs="仿宋_GB2312" w:eastAsia="仿宋_GB2312"/>
              </w:rPr>
              <w:t>针对本项目需求提出适用于本项目的监理资料与档案管理措施，方案包括但不限于:监理资料与档案存放、移交管理制度(明确资料存放地点、保管要求、移交流程及时间节点等)、监理资料与档案保管人员安排(明确专人负责，说明保管人员的资质、经验及职责)。 ①监理资料与档案存放、移交管理制度:方案详细具体科学合理且具有针对性、可行性得3分;方案明确具有一定的针对性、可行性得2分;方案合理性不足，无针对性、可行性，内容空洞，可行性差得1分。 ②监理资料与档案保管人员安排:方案详细具体科学合理且具有针对性、可行性得3分;方案明确具有一定的针对性、可行性得2分;方案合理性不足，无针对性、可行性，内容空洞，可行性差得1分。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监理工作重点、难点分析及对策</w:t>
            </w:r>
          </w:p>
        </w:tc>
        <w:tc>
          <w:tcPr>
            <w:tcW w:type="dxa" w:w="2492"/>
          </w:tcPr>
          <w:p>
            <w:pPr>
              <w:pStyle w:val="null3"/>
            </w:pPr>
            <w:r>
              <w:rPr>
                <w:rFonts w:ascii="仿宋_GB2312" w:hAnsi="仿宋_GB2312" w:cs="仿宋_GB2312" w:eastAsia="仿宋_GB2312"/>
              </w:rPr>
              <w:t>针对本项目需求提出适用于本项目的监理工作重点、难点分析及对策，方案包括但不限于:针对本项目的重点、难点分析(结合项目类型、规模、技术要求等，准确识别监理工作中的重点环节和潜在难点)、针对本项目的重点、难点的对策(提出具体、可行的解决措施，包括技术、管理、协调等方面)。 ①针对本项目的重点、难点分析:方案详细具体科学合理且具有针对性、可行性得4分;方案明确具有一定的针对性、可行性得2分;方案合理性不足，无针对性、可行性，内容空洞，可行性差得1分。 ②针对本项目的重点、难点的对策:方案详细具体科学合理且具有针对性、可行性得4分;方案明确具有一定的针对性、可行性得2分;方案合理性不足，无针对性、可行性，内容空洞，可行性差得1分。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监理工作质量控制</w:t>
            </w:r>
          </w:p>
        </w:tc>
        <w:tc>
          <w:tcPr>
            <w:tcW w:type="dxa" w:w="2492"/>
          </w:tcPr>
          <w:p>
            <w:pPr>
              <w:pStyle w:val="null3"/>
            </w:pPr>
            <w:r>
              <w:rPr>
                <w:rFonts w:ascii="仿宋_GB2312" w:hAnsi="仿宋_GB2312" w:cs="仿宋_GB2312" w:eastAsia="仿宋_GB2312"/>
              </w:rPr>
              <w:t>针对本项目需求提出适用于本项目的监理工作质量控制，方案包括但不限于:质量管理控制的基本流程(明确从质量计划制定到质量验收的全流程管控步骤)、工程质量控制的原则(如坚持质量第一、预防为主、全过程控制等原则)、项目各阶段的质量控制措施(涵盖施工准备阶段、施工阶段、竣工验收阶段等不同阶段的具体质量控制手段)。 ①质量管理控制的基本流程:方案详细具体科学合理且具有针对性、可行性得3分;方案明确具有一定的针对性、可行性得2分;方案合理性不足，无针对性、可行性，内容空洞，可行性差得1分。 ②工程质量控制的原则:方案详细具体科学合理且具有针对性、可行性得3分;方案明确具有一定的针对性、可行性得2分;方案合理性不足，无针对性、可行性，内容空洞，可行性差得1 分。 ③项目各阶段的质量控制措施:方案详细具体科学合理且具有针对性、可行性得3分;方案明确具有一定的针对性、可行性得2分;方案合理性不足，无针对性、可行性，内容空洞，可行性差得1分。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监理工作进度计划安排及保障措施</w:t>
            </w:r>
          </w:p>
        </w:tc>
        <w:tc>
          <w:tcPr>
            <w:tcW w:type="dxa" w:w="2492"/>
          </w:tcPr>
          <w:p>
            <w:pPr>
              <w:pStyle w:val="null3"/>
            </w:pPr>
            <w:r>
              <w:rPr>
                <w:rFonts w:ascii="仿宋_GB2312" w:hAnsi="仿宋_GB2312" w:cs="仿宋_GB2312" w:eastAsia="仿宋_GB2312"/>
              </w:rPr>
              <w:t>针对本项目需求提出适用于本项目的监理工作进度计划安排及保障措施，方案包括但不限于:监理工作进度计划安排(结合项目总体进度计划，制定监理工作各阶段的时间节点、工作任务及完成时限)、监理工作进度计划保障措施(如人员调配、资源保障、进度监控及调整机制等)。 ①监理工作进度计划安排:方案详细具体科学合理且具有针对性、可行性得5分;方案明确具有一定的针对性、可行性得3分;方案合理性不足，无针对性、可行性，内容空洞，可行性差得1分。 ②监理工作进度计划保障措施:方案详细具体科学合理且具有针对性、可行性得5分;方案明确具有一定的针对性、可行性得3分;方案合理性不足，无针对性、可行性，内容空洞，可行性差得1分。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工程交工验收服务的保障措施</w:t>
            </w:r>
          </w:p>
        </w:tc>
        <w:tc>
          <w:tcPr>
            <w:tcW w:type="dxa" w:w="2492"/>
          </w:tcPr>
          <w:p>
            <w:pPr>
              <w:pStyle w:val="null3"/>
            </w:pPr>
            <w:r>
              <w:rPr>
                <w:rFonts w:ascii="仿宋_GB2312" w:hAnsi="仿宋_GB2312" w:cs="仿宋_GB2312" w:eastAsia="仿宋_GB2312"/>
              </w:rPr>
              <w:t>针对本项目需求提出适用于本项目的工程交工验收服务的保障措施，方案包括但不限于:验收前期准备保障(包括验收资料整理、验收方案制定、参与验收人员培训等)、验收过程管控保障(明确验收流程监督、质量问题整改跟踪等措施)、验收后服务保障(如验收资料归档、后续问题咨询解答等服务)。 ①验收前期准备保障:方案详细具体科学合理且具有针对性、可行性得3分;方案明确具有一定的针对性、可行性得2分;方案合理性不足，无针对性、可行性，内容空洞，可行性差得1分。 ②验收过程管控保障:方案详细具体科学合理且具有针对性、可行性得3分;方案明确具有一定的针对性、可行性得2分;方案合理性不足，无针对性、可行性，内容空洞，可行性差得1分。 ③验收后服务保障:方案详细具体科学合理且具有针对性、可行性得3分;方案明确具有一定的针对性、可行性得2分;方案合理性不足，无针对性、可行性，内容空洞，可行性差得1分。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监理工作程序和方法</w:t>
            </w:r>
          </w:p>
        </w:tc>
        <w:tc>
          <w:tcPr>
            <w:tcW w:type="dxa" w:w="2492"/>
          </w:tcPr>
          <w:p>
            <w:pPr>
              <w:pStyle w:val="null3"/>
            </w:pPr>
            <w:r>
              <w:rPr>
                <w:rFonts w:ascii="仿宋_GB2312" w:hAnsi="仿宋_GB2312" w:cs="仿宋_GB2312" w:eastAsia="仿宋_GB2312"/>
              </w:rPr>
              <w:t>针对本项目需求提出适用于本项目的监理工作程序和方法，方案包括但不限于:监理工作的程序(明确监理工作从合同签订到项目竣工移交的完整工作流程，包括事前、事中、事后控制的具体环节)、监理工作的方法(如现场巡查、旁站监理、平行检验、见证取样、指令文件等方法的具体应用)。 ①监理工作的程序:方案详细具体科学合理且具有针对性、可行性得5分;方案明确具有一定的针对性、可行性得3分;方案合理性不足，无针对性、可行性，内容空洞，可行性差得1分。 ②监理工作的方法:方案详细具体科学合理且具有针对性、可行性得5分;方案明确具有一定的针对性、可行性得3分;方案合理性不足，无针对性、可行性，内容空洞，可行性差得1分。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提供供应商近三年(2023年1月-至今)的类似项目业绩，每一份业绩得2.5分，最多得5分。(提供合同或中标通知书扫描件)。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满足磋商文件要求且最后磋商报价最低的供应商的价格为磋商基准价，其价格分为满分。其他供应商的价格分统一按照下列公式计算： 磋商报价得分=(磋商基准价／最后磋商报价)×价格分值计算分数时四舍五入取小数点后两位。 注：本项目为专门面向中小企业项目，不再执行价格评审优惠的扶持政策。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详见附件：磋商响应方案.pdf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详见附件：建设工程监理合同（示范文本）.docx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