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版本号：SXPZ-2025-12-03.1B120260108001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汉中市南郑区野猪等野生动物致害防控与补偿项目(二次)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SXPZ-2025-12-03.1B1</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陕西鹏泽项目管理有限公司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陕西鹏泽项目管理有限公司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汉中市南郑区野猪等野生动物致害防控与补偿项目(二次)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SXPZ-2025-12-03.1B1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汉中市南郑区野猪等野生动物致害防控与补偿项目(二次)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是计划通过政府采购方式选聘专业狩猎队在全区野猪致害最为严重区域狩猎野猪280头；二是计划建设一个农田防护试点基地，通过利用物理隔离、声光驱赶等综合措施，降低野猪对作物的破坏；三是制作一批野生动物保护和野猪致害防控宣传资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采购包1（汉中市南郑区野猪等野生动物致害防控与补偿项目）：属于专门面向中小企业采购。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供应商需在项目电子化交易系统中按要求上传相应证明文件并进行电子签章。：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3、供应商需在项目电子化交易系统中按要求上传相应证明文件并进行电子签章。：本项目专门面向中小微企业采购（残疾人福利性质单位、监狱企业视同为小型、微型企业），非中小微企业不得参与；</w:t>
      </w:r>
    </w:p>
    <w:p>
      <w:pPr>
        <w:pStyle w:val="null3"/>
      </w:pPr>
      <w:r>
        <w:rPr>
          <w:rFonts w:ascii="仿宋_GB2312" w:hAnsi="仿宋_GB2312" w:cs="仿宋_GB2312" w:eastAsia="仿宋_GB2312"/>
        </w:rPr>
        <w:t>4、供应商需在项目电子化交易系统中按要求上传相应证明文件并进行电子签章。：供应商提供《汉中市政府采购供应商资格承诺函》；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13991605160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陕西鹏泽项目管理有限公司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陕西省汉中市南郑区中所营街道办董家营十字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0916-5518889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服务类</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服务类</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服务类</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开户名称：陕西鹏泽项目管理有限公司</w:t>
            </w:r>
          </w:p>
          <w:p>
            <w:pPr>
              <w:pStyle w:val="null3"/>
            </w:pPr>
            <w:r>
              <w:rPr>
                <w:rFonts w:ascii="仿宋_GB2312" w:hAnsi="仿宋_GB2312" w:cs="仿宋_GB2312" w:eastAsia="仿宋_GB2312"/>
              </w:rPr>
              <w:t>开户银行：中国工商银行股份有限公司南郑县支行</w:t>
            </w:r>
          </w:p>
          <w:p>
            <w:pPr>
              <w:pStyle w:val="null3"/>
            </w:pPr>
            <w:r>
              <w:rPr>
                <w:rFonts w:ascii="仿宋_GB2312" w:hAnsi="仿宋_GB2312" w:cs="仿宋_GB2312" w:eastAsia="仿宋_GB2312"/>
              </w:rPr>
              <w:t>银行账号：2606050709200001641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本次招标的服务费，交费金额参照《国家计委关于印发招标代理服务费管理暂行办法的通知》（计价格【2002】1980号）文件及国家发展委下发的《关于降低部分建设项目收费标准规范收费行为等有关问题的通知》[2011]534号文件规定标准，以中标价金额为基准价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陕西鹏泽项目管理有限公司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陕西鹏泽项目管理有限公司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陕西鹏泽项目管理有限公司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联系电话：0916-5518889</w:t>
      </w:r>
    </w:p>
    <w:p>
      <w:pPr>
        <w:pStyle w:val="null3"/>
      </w:pPr>
      <w:r>
        <w:rPr>
          <w:rFonts w:ascii="仿宋_GB2312" w:hAnsi="仿宋_GB2312" w:cs="仿宋_GB2312" w:eastAsia="仿宋_GB2312"/>
        </w:rPr>
        <w:t>地址：汉中市南郑区中所营街道办董家营十字</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是计划通过政府采购方式选聘专业狩猎队在全区野猪致害最为严重区域狩猎野猪280头；二是计划建设一个农田防护试点基地，通过利用物理隔离、声光驱赶等综合措施，降低野猪对作物的破坏；三是制作一批野生动物保护和野猪致害防控宣传资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汉中市南郑区野猪等野生动物致害防控与补偿项目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标的名称：汉中市南郑区野猪等野生动物致害防控与补偿项目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一、项目概况</w:t>
            </w:r>
          </w:p>
          <w:p>
            <w:pPr>
              <w:pStyle w:val="null3"/>
              <w:ind w:firstLine="420"/>
            </w:pPr>
            <w:r>
              <w:rPr>
                <w:rFonts w:ascii="仿宋_GB2312" w:hAnsi="仿宋_GB2312" w:cs="仿宋_GB2312" w:eastAsia="仿宋_GB2312"/>
                <w:sz w:val="21"/>
                <w:color w:val="000000"/>
              </w:rPr>
              <w:t>一是计划通过政府采购方式选聘专业狩猎队在全区野猪致害最为严重区域狩猎野猪</w:t>
            </w:r>
            <w:r>
              <w:rPr>
                <w:rFonts w:ascii="仿宋_GB2312" w:hAnsi="仿宋_GB2312" w:cs="仿宋_GB2312" w:eastAsia="仿宋_GB2312"/>
                <w:sz w:val="21"/>
                <w:color w:val="000000"/>
              </w:rPr>
              <w:t>280头；二是计划建设一个农田防护试点基地，通过利用物理隔离、声光驱赶等综合措施，降低野猪对作物的破坏；三是制作一批野生动物保护和野猪致害防控宣传资料</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b/>
                <w:color w:val="000000"/>
              </w:rPr>
              <w:t>二、技术要求</w:t>
            </w:r>
          </w:p>
          <w:p>
            <w:pPr>
              <w:pStyle w:val="null3"/>
            </w:pPr>
            <w:r>
              <w:rPr>
                <w:rFonts w:ascii="仿宋_GB2312" w:hAnsi="仿宋_GB2312" w:cs="仿宋_GB2312" w:eastAsia="仿宋_GB2312"/>
                <w:sz w:val="21"/>
                <w:b/>
                <w:color w:val="000000"/>
              </w:rPr>
              <w:t>1、总体目标</w:t>
            </w:r>
          </w:p>
          <w:p>
            <w:pPr>
              <w:pStyle w:val="null3"/>
              <w:ind w:firstLine="420"/>
            </w:pPr>
            <w:r>
              <w:rPr>
                <w:rFonts w:ascii="仿宋_GB2312" w:hAnsi="仿宋_GB2312" w:cs="仿宋_GB2312" w:eastAsia="仿宋_GB2312"/>
                <w:sz w:val="21"/>
                <w:color w:val="000000"/>
              </w:rPr>
              <w:t>（一）种群调控目标。通过生态调控与科学猎捕相结合的方式，计划利用猎犬猎捕成年野猪，并进行无害化处置，以达到区域生态系统承载的合理水平。猎捕过程将严格遵循选择性原则，重点清除对农作物破坏性强、攻击性高的成年公猪个体。</w:t>
            </w:r>
          </w:p>
          <w:p>
            <w:pPr>
              <w:pStyle w:val="null3"/>
              <w:ind w:firstLine="420"/>
            </w:pPr>
            <w:r>
              <w:rPr>
                <w:rFonts w:ascii="仿宋_GB2312" w:hAnsi="仿宋_GB2312" w:cs="仿宋_GB2312" w:eastAsia="仿宋_GB2312"/>
                <w:sz w:val="21"/>
                <w:color w:val="000000"/>
              </w:rPr>
              <w:t>（二）农田保护目标。选择野猪经常出没的区域，建立一个农田防护试点基地，通过利用物理隔离、声光驱赶等综合措施，降低野猪对作物破坏；并制作一批野生动物保护和野猪致害防控宣传资料，提升农户的防护意识和技能。</w:t>
            </w:r>
          </w:p>
          <w:p>
            <w:pPr>
              <w:pStyle w:val="null3"/>
              <w:ind w:firstLine="420"/>
            </w:pPr>
            <w:r>
              <w:rPr>
                <w:rFonts w:ascii="仿宋_GB2312" w:hAnsi="仿宋_GB2312" w:cs="仿宋_GB2312" w:eastAsia="仿宋_GB2312"/>
                <w:sz w:val="21"/>
                <w:color w:val="000000"/>
              </w:rPr>
              <w:t>（三）安全防控目标。通过政府采购的方式选聘一个专业的服务公司，组建专业野外猎捕队，并配备全套防护装备和通讯设备，实行轮班制巡逻，重点防范野猪经常出没的居民聚集区，实现野猪伤人事件零发生的安全目标。</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项目保障和相关要求</w:t>
            </w:r>
          </w:p>
          <w:p>
            <w:pPr>
              <w:pStyle w:val="null3"/>
              <w:ind w:firstLine="420"/>
            </w:pPr>
            <w:r>
              <w:rPr>
                <w:rFonts w:ascii="仿宋_GB2312" w:hAnsi="仿宋_GB2312" w:cs="仿宋_GB2312" w:eastAsia="仿宋_GB2312"/>
                <w:sz w:val="21"/>
                <w:color w:val="000000"/>
              </w:rPr>
              <w:t>（一）组织保障。加强项目管理组织建设，协调解决项目建设和管理问题，有序推进项目建设。</w:t>
            </w:r>
            <w:r>
              <w:rPr>
                <w:rFonts w:ascii="仿宋_GB2312" w:hAnsi="仿宋_GB2312" w:cs="仿宋_GB2312" w:eastAsia="仿宋_GB2312"/>
                <w:sz w:val="21"/>
                <w:color w:val="000000"/>
              </w:rPr>
              <w:t>2025年度中央财政林业草原生态保护恢复资金野猪等野生动物致害防控与补偿项目由南郑区林业局负责具体组织实施、日常管理、检查验收等相关事宜，南郑区财政局负责项目资金使用监督管理。</w:t>
            </w:r>
          </w:p>
          <w:p>
            <w:pPr>
              <w:pStyle w:val="null3"/>
              <w:ind w:firstLine="420"/>
            </w:pPr>
            <w:r>
              <w:rPr>
                <w:rFonts w:ascii="仿宋_GB2312" w:hAnsi="仿宋_GB2312" w:cs="仿宋_GB2312" w:eastAsia="仿宋_GB2312"/>
                <w:sz w:val="21"/>
                <w:color w:val="000000"/>
              </w:rPr>
              <w:t>（二）制度保障。项目建设单位将严格按照项目管理有关规章制度进行监督管理，协调和解决本项目执行过程中可能出现的困难和问题；财务部门对本项目实施过程中的经费进行专项管理，认真执行国家财经制度，严格财经纪律，制止项目不合理开支，项目相关负责人应当认真研究和解决项目实施的重大原则问题。</w:t>
            </w:r>
          </w:p>
          <w:p>
            <w:pPr>
              <w:pStyle w:val="null3"/>
              <w:ind w:firstLine="420"/>
            </w:pPr>
            <w:r>
              <w:rPr>
                <w:rFonts w:ascii="仿宋_GB2312" w:hAnsi="仿宋_GB2312" w:cs="仿宋_GB2312" w:eastAsia="仿宋_GB2312"/>
                <w:sz w:val="21"/>
                <w:color w:val="000000"/>
              </w:rPr>
              <w:t>（三）经费保障。按照项目质量要求，建立高效的项目管理制度。推行项目法人制度，落实重点项目招投标制，实行合同管理。在项目实施中严格遵守国家有关法律法规政策。加强专项资金管理，定期对项目资金的拨付、到位和使用情况进行检查，发现问题，及时纠正和严肃处理。严格项目资金审计制度，确保专项资金专款专用。</w:t>
            </w:r>
          </w:p>
          <w:p>
            <w:pPr>
              <w:pStyle w:val="null3"/>
              <w:ind w:firstLine="420"/>
            </w:pPr>
            <w:r>
              <w:rPr>
                <w:rFonts w:ascii="仿宋_GB2312" w:hAnsi="仿宋_GB2312" w:cs="仿宋_GB2312" w:eastAsia="仿宋_GB2312"/>
                <w:sz w:val="21"/>
                <w:color w:val="000000"/>
              </w:rPr>
              <w:t>（四）安全保障。坚持项目实施全过程安全管理，项目实施狩猎公司是整个项目的安全责任唯一主体，在开展狩猎活动前，必须购买公共责任保险和人生意外保险，并组织开展专业的技术和安全培训，制定必要的应急预案。在任何应急处置过程中，当野生动物对人员产生直接威胁时，保障人民群众的生命安全是首要原则，可以采取必要的紧急避险措施，同时对猎捕的野猪严格按照相关程序进行无害化处理。</w:t>
            </w:r>
          </w:p>
          <w:p>
            <w:pPr>
              <w:pStyle w:val="null3"/>
            </w:pPr>
            <w:r>
              <w:rPr>
                <w:rFonts w:ascii="仿宋_GB2312" w:hAnsi="仿宋_GB2312" w:cs="仿宋_GB2312" w:eastAsia="仿宋_GB2312"/>
                <w:sz w:val="21"/>
                <w:color w:val="000000"/>
              </w:rPr>
              <w:t>（五）其他要求。一是狩猎公司和参与狩猎的人员在项目实施过程中，必须严格遵守国家相关法律法规政策，加强管理，参与人员不得擅自拍照录像，信息发布需由权威部门统一进行，防止不实信息发布。二是狩猎公司必须建立详细台账，并且详细记录镇、村、组、小地名、海拔、经纬度等信息，以便于后期资金兑付与项目管理。三是狩猎公司在狩猎过程中，如果发现有异常死亡的野猪等其他野生动物应当立即上报当地林业部门。四是狩猎公司必须严格规范资料的收集与整理，且严禁弄虚作假，一旦发现对其进行严厉处罚，并有权解除服务合同。五是狩猎公司和狩猎队员必须严格按规定开展狩猎，若在合同期内不服从调配和指挥的狩猎公司和狩猎队员将取消其狩猎资格</w:t>
            </w:r>
            <w:r>
              <w:rPr>
                <w:rFonts w:ascii="仿宋_GB2312" w:hAnsi="仿宋_GB2312" w:cs="仿宋_GB2312" w:eastAsia="仿宋_GB2312"/>
                <w:sz w:val="21"/>
                <w:color w:val="000000"/>
              </w:rPr>
              <w:t>。</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自服务合同签订之日起1年内完成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按磋商文件、磋商响应文件及澄清函、项目检查情况等综合指标进行验收。各项指标均应符合验收标准及要求。 验收合格后，填写验收单，双方签字生效。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验收合格且审计完成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本项目专门面向中小微企业采购（残疾人福利性质单位、监狱企业视同为小型、微型企业），非中小微企业不得参与；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保证金凭证.docx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对本项目相关政策和规划背景的解读</w:t>
            </w:r>
          </w:p>
        </w:tc>
        <w:tc>
          <w:tcPr>
            <w:tcW w:type="dxa" w:w="2492"/>
          </w:tcPr>
          <w:p>
            <w:pPr>
              <w:pStyle w:val="null3"/>
            </w:pPr>
            <w:r>
              <w:rPr>
                <w:rFonts w:ascii="仿宋_GB2312" w:hAnsi="仿宋_GB2312" w:cs="仿宋_GB2312" w:eastAsia="仿宋_GB2312"/>
              </w:rPr>
              <w:t>对本项目相关政策和规划背景的解读与理解详细、透彻、清晰的，得(8-10]分； 较详细、透彻、清晰的，得(5-8]分； 基本详细、清晰的，得（3-5]分； 不够详细、清晰的，得（1-3]分；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服务方案中指导思想及目标任务清晰、工作原则合理、实施要点明确，信息技术辅助分析得当，得(18-25]分； 较得当，得(12-18]分； 基本得当，得(6-12]分； 不得当，得（0-6]分； 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结合本项目要求，阐述服务时效及进度的保障措施，时间进度安排合理、可行，完全满足采购要求得（8-12]分； 措施基本合理，满足项目需求得（4-8]分； 措施简单，不利于项目实施得（1-4]分；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结合本项目要求，阐述服务质量保障措施，质量保证措施合理、可行，完全满足采购要求得（8-12]分； 措施基本合理，满足项目需求得（4-8]分； 措施简单，不利于项目实施得（1-4]分；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供应商根据本项目的服务内容，做出切实可行的服务承诺，确保项目能按时按质完成，达到服务要求且能保证项目质量。承诺内容清晰、承诺指标明确，后续服务具有可延续性得（5-10]分； 承诺及措施科学合理，基本满足项目需求得（1-5]分；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供应商服务团队的人员配备。 服务团队人员充足，结构合理，成员具有丰富的相关工作经验，得 4 - 5 分； 团队人员基本满足项目需求，结构较合理，得 3 分； 团队人员和结构存在一些不足，得 1 - 2 分； 团队人员严重不足或结构不合理不得分。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12月1日至今类似本项目业绩，以供应商提供的合同或中标（成交）通知书复印件（或扫描件）为准（日期以合同签订时间或中标（成交）通知书时间为准），每提供一份得2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2.满足磋商文件实质性要求且最终报价最低的供应商的价格为磋商基准价，其价格分为满分20分。 3.磋商报价得分=（磋商基准价/最终磋商报价）×20的公式计算得分。 4.磋商报价不完整的，不进入评标标准价的计算，本项得0分。 5.经评委一致认定，供应商的磋商最终总报价低于公认市场成本，或超过采购预算,其响应将被拒绝。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详见附件：保证金凭证.docx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