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版本号：ZCBN-南郑县-2025-0053020260110002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南郑区协税镇梅子园后头沟滑坡、牟家坝镇宋家营滑坡排危除险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ZCBN-南郑县-2025-00530</w:t>
      </w:r>
      <w:r>
        <w:br/>
      </w:r>
      <w:r>
        <w:br/>
      </w:r>
      <w:r>
        <w:br/>
      </w:r>
    </w:p>
    <w:p>
      <w:pPr>
        <w:pStyle w:val="null3"/>
        <w:jc w:val="center"/>
        <w:outlineLvl w:val="2"/>
      </w:pPr>
      <w:r>
        <w:rPr>
          <w:rFonts w:ascii="仿宋_GB2312" w:hAnsi="仿宋_GB2312" w:cs="仿宋_GB2312" w:eastAsia="仿宋_GB2312"/>
          <w:sz w:val="28"/>
          <w:b/>
        </w:rPr>
        <w:t>汉中市自然资源局南郑分局</w:t>
      </w:r>
    </w:p>
    <w:p>
      <w:pPr>
        <w:pStyle w:val="null3"/>
        <w:jc w:val="center"/>
        <w:outlineLvl w:val="2"/>
      </w:pPr>
      <w:r>
        <w:rPr>
          <w:rFonts w:ascii="仿宋_GB2312" w:hAnsi="仿宋_GB2312" w:cs="仿宋_GB2312" w:eastAsia="仿宋_GB2312"/>
          <w:sz w:val="28"/>
          <w:b/>
        </w:rPr>
        <w:t>陕西新言项目管理有限公司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陕西新言项目管理有限公司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汉中市自然资源局南郑分局</w:t>
      </w:r>
      <w:r>
        <w:rPr>
          <w:rFonts w:ascii="仿宋_GB2312" w:hAnsi="仿宋_GB2312" w:cs="仿宋_GB2312" w:eastAsia="仿宋_GB2312"/>
        </w:rPr>
        <w:t>委托，拟对</w:t>
      </w:r>
      <w:r>
        <w:rPr>
          <w:rFonts w:ascii="仿宋_GB2312" w:hAnsi="仿宋_GB2312" w:cs="仿宋_GB2312" w:eastAsia="仿宋_GB2312"/>
        </w:rPr>
        <w:t>南郑区协税镇梅子园后头沟滑坡、牟家坝镇宋家营滑坡排危除险</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ZCBN-南郑县-2025-00530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南郑区协税镇梅子园后头沟滑坡、牟家坝镇宋家营滑坡排危除险</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本排危除险项目涉及2处地质灾害，分别为汉中市南郑区协税镇后头沟滑坡，该滑坡位于南郑区协税镇吴坝村十一组；汉中市南郑区牟家坝镇宋家营滑坡，该滑坡位于南郑区牟家坝镇牟家坝社区九组宋家营。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采购包1（南郑区协税镇梅子园后头沟滑坡、牟家坝镇宋家营滑坡排危除险）：属于专门面向中小企业采购。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3、企业资质要求：供应商应具备相关部门（自然资源部）颁发的地质灾害治理工程乙级及以上资质及以上资质，并具备有效的安全生产许可证；</w:t>
      </w:r>
    </w:p>
    <w:p>
      <w:pPr>
        <w:pStyle w:val="null3"/>
      </w:pPr>
      <w:r>
        <w:rPr>
          <w:rFonts w:ascii="仿宋_GB2312" w:hAnsi="仿宋_GB2312" w:cs="仿宋_GB2312" w:eastAsia="仿宋_GB2312"/>
        </w:rPr>
        <w:t>4、拟派项目负责人资质和专业和其他要求：拟派项目负责人须具有水利水电工程专业注册建造师二级（含二级）以上资格和安全生产考核合格B证，且无在建工程、无不良记录（提供无在建工程、无不良记录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6、非联合体声明：本项目不接受联合体投标，供应商需提供非联合体书面声明。</w:t>
      </w:r>
    </w:p>
    <w:p>
      <w:pPr>
        <w:pStyle w:val="null3"/>
      </w:pPr>
      <w:r>
        <w:rPr>
          <w:rFonts w:ascii="仿宋_GB2312" w:hAnsi="仿宋_GB2312" w:cs="仿宋_GB2312" w:eastAsia="仿宋_GB2312"/>
        </w:rPr>
        <w:t>7、中小企业声明函：本项目专门面向中小企业采购，供应商须提供中小企业声明函。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汉中市自然资源局南郑分局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陕西省汉中市南郑区汉山街道办南环路3号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汉中市自然资源局南郑分局经办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13891676761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陕西省汉中市汉台区东塔社区隔壁院内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刘林龙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19992769876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开户名称：陕西新言项目管理有限公司</w:t>
            </w:r>
          </w:p>
          <w:p>
            <w:pPr>
              <w:pStyle w:val="null3"/>
            </w:pPr>
            <w:r>
              <w:rPr>
                <w:rFonts w:ascii="仿宋_GB2312" w:hAnsi="仿宋_GB2312" w:cs="仿宋_GB2312" w:eastAsia="仿宋_GB2312"/>
              </w:rPr>
              <w:t>开户银行：中国工商银行股份有限公司汉中北团结街支行</w:t>
            </w:r>
          </w:p>
          <w:p>
            <w:pPr>
              <w:pStyle w:val="null3"/>
            </w:pPr>
            <w:r>
              <w:rPr>
                <w:rFonts w:ascii="仿宋_GB2312" w:hAnsi="仿宋_GB2312" w:cs="仿宋_GB2312" w:eastAsia="仿宋_GB2312"/>
              </w:rPr>
              <w:t>银行账号：2606050309200253675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汉中市自然资源局南郑分局</w:t>
      </w:r>
      <w:r>
        <w:rPr>
          <w:rFonts w:ascii="仿宋_GB2312" w:hAnsi="仿宋_GB2312" w:cs="仿宋_GB2312" w:eastAsia="仿宋_GB2312"/>
        </w:rPr>
        <w:t>和</w:t>
      </w:r>
      <w:r>
        <w:rPr>
          <w:rFonts w:ascii="仿宋_GB2312" w:hAnsi="仿宋_GB2312" w:cs="仿宋_GB2312" w:eastAsia="仿宋_GB2312"/>
        </w:rPr>
        <w:t>陕西新言项目管理有限公司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汉中市自然资源局南郑分局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汉中市自然资源局南郑分局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联系人：刘林龙</w:t>
      </w:r>
    </w:p>
    <w:p>
      <w:pPr>
        <w:pStyle w:val="null3"/>
      </w:pPr>
      <w:r>
        <w:rPr>
          <w:rFonts w:ascii="仿宋_GB2312" w:hAnsi="仿宋_GB2312" w:cs="仿宋_GB2312" w:eastAsia="仿宋_GB2312"/>
        </w:rPr>
        <w:t>联系电话：19992769876</w:t>
      </w:r>
    </w:p>
    <w:p>
      <w:pPr>
        <w:pStyle w:val="null3"/>
      </w:pPr>
      <w:r>
        <w:rPr>
          <w:rFonts w:ascii="仿宋_GB2312" w:hAnsi="仿宋_GB2312" w:cs="仿宋_GB2312" w:eastAsia="仿宋_GB2312"/>
        </w:rPr>
        <w:t>地址：陕西省汉中市汉台区东塔社区隔壁院内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404,600.00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南郑区协税镇梅子园后头沟滑坡、牟家坝镇宋家营滑坡排危除险</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标的名称：南郑区协税镇梅子园后头沟滑坡、牟家坝镇宋家营滑坡排危除险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本排危除险项目涉及2处地质灾害</w:t>
            </w:r>
            <w:r>
              <w:rPr>
                <w:rFonts w:ascii="仿宋_GB2312" w:hAnsi="仿宋_GB2312" w:cs="仿宋_GB2312" w:eastAsia="仿宋_GB2312"/>
              </w:rPr>
              <w:t>，分别为汉中市南郑区协税镇后头沟滑坡，该滑坡位于南郑区协税镇吴坝村十一组；汉中市南郑区牟家坝镇宋家营滑坡，该滑坡位于南郑区牟家坝镇牟家坝社区九组宋家营。（具体内容详见工程量清单）。工期：50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供应商应具备相关部门（自然资源部）颁发的地质灾害治理工程乙级及以上资质及以上资质，并具备有效的安全生产许可证；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拟派项目负责人资质和专业和其他要求</w:t>
            </w:r>
          </w:p>
        </w:tc>
        <w:tc>
          <w:tcPr>
            <w:tcW w:type="dxa" w:w="3322"/>
          </w:tcPr>
          <w:p>
            <w:pPr>
              <w:pStyle w:val="null3"/>
            </w:pPr>
            <w:r>
              <w:rPr>
                <w:rFonts w:ascii="仿宋_GB2312" w:hAnsi="仿宋_GB2312" w:cs="仿宋_GB2312" w:eastAsia="仿宋_GB2312"/>
              </w:rPr>
              <w:t>拟派项目负责人须具有水利水电工程专业注册建造师二级（含二级）以上资格和安全生产考核合格B证，且无在建工程、无不良记录（提供无在建工程、无不良记录承诺书）；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强制优先采购产品承诺函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 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强制优先采购产品承诺函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准备：技术准备、材料准备、机械准备、机具准备；③施工平面布置与安排：现场围挡及出入口管理、交通组织安排及道路安排。1、完全满足采购需求，无缺陷：得12分； 2、内容每存在1处缺陷：扣1分； 3、未提供或内容存在12处及以上缺陷：得0分。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缺陷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供应商针对本项目编制完善的施工方案，内容包含:①工程重难点及解决措施;②工程施工方法; ③施工质量通病防治措施。1、完全满足采购需求，无缺陷：得9分；2、内容每存在1处缺陷：扣1分；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供应商针对本项目编制完善的资源配置计划，内容包含:①劳动力资源配置计划;②施工机械设备投入计划;③主要施工材料供应计划。1、完全满足采购需求，无缺陷：得6分；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供应商针对本项目编制完善的施工进度计划，内容包含：①施工进度计划横道图②进度计划保证措施③工期保证措施。1、完全满足采购需求，无缺陷：得9分； 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供应商针对本项目编制完善的质量保证措施，内容包含：①质量目标管理体系②施工质量的检验制度③确保质量的技术组织措施④施工质量控制措施。1、完全满足采购需求，无缺陷：得8分； 2、内容每存在1处缺陷：扣1分；3、未提供或内容存在8处及以上缺陷：得0分。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供应商针对本项目编制完整的安全施工措施，内容包含：①安全生产管理制度②安全施工措施③安全应急预案④安全生产教育。1、完全满足采购需求，无缺陷：得6分；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供应商针对本项目编制完整的文明施工措施，内容包含：①文明施工管理目标及技术措施②文明施工现场管理：材料管理、防扰民措施。1、完全满足采购需求，无缺陷：得4分； 2、内容每存在1处缺陷：扣1分； 3、未提供或内容存在4处及以上缺陷：得0分。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 ①管理机构的配备计划; ②组织机构的岗位职责。1、完全满足采购需求，无缺陷：得5分； 2、内容每存在1处缺陷：扣1分； 3、未提供或内容存在5处及以上缺陷：得0分。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施工保修方案</w:t>
            </w:r>
          </w:p>
        </w:tc>
        <w:tc>
          <w:tcPr>
            <w:tcW w:type="dxa" w:w="2492"/>
          </w:tcPr>
          <w:p>
            <w:pPr>
              <w:pStyle w:val="null3"/>
            </w:pPr>
            <w:r>
              <w:rPr>
                <w:rFonts w:ascii="仿宋_GB2312" w:hAnsi="仿宋_GB2312" w:cs="仿宋_GB2312" w:eastAsia="仿宋_GB2312"/>
              </w:rPr>
              <w:t>结合本项目的实际，供应商应提供详细、完善的施工保修承诺，内容包含: ①保修范围及措施;②保修责任;③保修承诺。1、完全满足采购需求，无缺陷：得6分；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供应商提供2022年1月1日起至今已完成的类似业绩证明材料，每提供1项得2.5分，最多得5分。 评审依据：业绩以合同和（中标）成交通知书加盖公章的复印件为依据（时间以合同签订时间为准），未提供或提供不全的不得分。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