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default" w:ascii="宋体" w:hAnsi="宋体" w:eastAsia="宋体" w:cs="宋体"/>
          <w:b/>
          <w:bCs/>
          <w:kern w:val="0"/>
          <w:sz w:val="36"/>
          <w:szCs w:val="36"/>
          <w:lang w:val="en-US" w:eastAsia="zh-CN"/>
        </w:rPr>
      </w:pPr>
      <w:r>
        <w:rPr>
          <w:rFonts w:hint="eastAsia" w:ascii="宋体" w:hAnsi="宋体" w:eastAsia="宋体" w:cs="宋体"/>
          <w:b/>
          <w:bCs/>
          <w:kern w:val="0"/>
          <w:sz w:val="36"/>
          <w:szCs w:val="36"/>
        </w:rPr>
        <w:t>（示范文本）</w:t>
      </w:r>
      <w:r>
        <w:rPr>
          <w:rFonts w:hint="eastAsia" w:ascii="宋体" w:hAnsi="宋体" w:cs="宋体"/>
          <w:b/>
          <w:bCs/>
          <w:kern w:val="0"/>
          <w:sz w:val="22"/>
          <w:szCs w:val="22"/>
          <w:lang w:val="en-US" w:eastAsia="zh-CN"/>
        </w:rPr>
        <w:t>具体以实际签订为准</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bookmarkStart w:id="0" w:name="_GoBack"/>
      <w:bookmarkEnd w:id="0"/>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0</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w:t>
      </w:r>
      <w:r>
        <w:rPr>
          <w:rFonts w:hint="eastAsia" w:ascii="宋体" w:hAnsi="宋体" w:cs="宋体"/>
          <w:sz w:val="24"/>
          <w:szCs w:val="24"/>
          <w:u w:val="single"/>
          <w:lang w:val="en-US" w:eastAsia="zh-CN"/>
        </w:rPr>
        <w:t>/</w:t>
      </w:r>
      <w:r>
        <w:rPr>
          <w:rFonts w:hint="eastAsia" w:ascii="宋体" w:hAnsi="宋体" w:eastAsia="宋体" w:cs="宋体"/>
          <w:sz w:val="24"/>
          <w:szCs w:val="24"/>
        </w:rPr>
        <w:t>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44E05665">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2275FFAA">
      <w:pPr>
        <w:spacing w:line="360" w:lineRule="auto"/>
        <w:ind w:firstLine="723" w:firstLineChars="300"/>
        <w:rPr>
          <w:rFonts w:hint="eastAsia" w:ascii="宋体" w:hAnsi="宋体" w:eastAsia="宋体" w:cs="宋体"/>
          <w:b/>
          <w:kern w:val="0"/>
          <w:sz w:val="24"/>
          <w:szCs w:val="24"/>
        </w:rPr>
      </w:pPr>
    </w:p>
    <w:p w14:paraId="15937D66">
      <w:pPr>
        <w:snapToGrid w:val="0"/>
        <w:spacing w:line="348" w:lineRule="auto"/>
        <w:ind w:firstLine="646"/>
        <w:rPr>
          <w:rFonts w:hint="eastAsia" w:ascii="宋体" w:hAnsi="宋体" w:eastAsia="宋体" w:cs="宋体"/>
          <w:sz w:val="32"/>
          <w:szCs w:val="32"/>
        </w:rPr>
      </w:pPr>
    </w:p>
    <w:p w14:paraId="14CD1D89">
      <w:pPr>
        <w:snapToGrid w:val="0"/>
        <w:spacing w:line="348" w:lineRule="auto"/>
        <w:ind w:firstLine="646"/>
        <w:rPr>
          <w:rFonts w:hint="eastAsia" w:ascii="宋体" w:hAnsi="宋体" w:eastAsia="宋体" w:cs="宋体"/>
          <w:sz w:val="32"/>
          <w:szCs w:val="32"/>
        </w:rPr>
        <w:sectPr>
          <w:pgSz w:w="11906" w:h="16838"/>
          <w:pgMar w:top="1418" w:right="1418" w:bottom="1418" w:left="1418" w:header="851" w:footer="992" w:gutter="0"/>
          <w:pgNumType w:fmt="decimal"/>
          <w:cols w:space="720" w:num="1"/>
          <w:docGrid w:linePitch="312" w:charSpace="0"/>
        </w:sectPr>
      </w:pP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0A9834B6"/>
    <w:rsid w:val="1C697F99"/>
    <w:rsid w:val="241D7D3C"/>
    <w:rsid w:val="267628A6"/>
    <w:rsid w:val="3E4038DB"/>
    <w:rsid w:val="743E2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3155</Words>
  <Characters>3188</Characters>
  <Lines>0</Lines>
  <Paragraphs>0</Paragraphs>
  <TotalTime>3</TotalTime>
  <ScaleCrop>false</ScaleCrop>
  <LinksUpToDate>false</LinksUpToDate>
  <CharactersWithSpaces>4412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Pe</cp:lastModifiedBy>
  <dcterms:modified xsi:type="dcterms:W3CDTF">2026-01-11T02:23:05Z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222D4BF75F8F491C99710E7D69B267C9_13</vt:lpwstr>
  </property>
  <property fmtid="{D5CDD505-2E9C-101B-9397-08002B2CF9AE}" pid="4" name="KSOTemplateDocerSaveRecord">
    <vt:lpwstr>eyJoZGlkIjoiZTcxZmM4MTE1ZDdkNWFjZjU1MTljNGY5MjNjMDhlMjQiLCJ1c2VySWQiOiIzNDIzMjU4NzIifQ==</vt:lpwstr>
  </property>
</Properties>
</file>