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版本号：TZZB-HZ-2026035C20260227001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原中医科楼装修改造工程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TZZB-HZ-2026035C</w:t>
      </w:r>
      <w:r>
        <w:br/>
      </w:r>
      <w:r>
        <w:br/>
      </w:r>
      <w:r>
        <w:br/>
      </w:r>
    </w:p>
    <w:p>
      <w:pPr>
        <w:pStyle w:val="null3"/>
        <w:jc w:val="center"/>
        <w:outlineLvl w:val="2"/>
      </w:pPr>
      <w:r>
        <w:rPr>
          <w:rFonts w:ascii="仿宋_GB2312" w:hAnsi="仿宋_GB2312" w:cs="仿宋_GB2312" w:eastAsia="仿宋_GB2312"/>
          <w:sz w:val="28"/>
          <w:b/>
        </w:rPr>
        <w:t>汉中市南郑区人民医院</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汉中市南郑区人民医院</w:t>
      </w:r>
      <w:r>
        <w:rPr>
          <w:rFonts w:ascii="仿宋_GB2312" w:hAnsi="仿宋_GB2312" w:cs="仿宋_GB2312" w:eastAsia="仿宋_GB2312"/>
        </w:rPr>
        <w:t>委托，拟对</w:t>
      </w:r>
      <w:r>
        <w:rPr>
          <w:rFonts w:ascii="仿宋_GB2312" w:hAnsi="仿宋_GB2312" w:cs="仿宋_GB2312" w:eastAsia="仿宋_GB2312"/>
        </w:rPr>
        <w:t>原中医科楼装修改造工程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TZZB-HZ-2026035C</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原中医科楼装修改造工程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原中医科楼装修改造工程位于汉中市南郑区人民医院原中医科楼中，工程内容：拆除更换病房门和卫生间门、病房及走廊楼梯墙面铲除乳胶漆翻新，卫生间及走廊吊顶拆除新做，老旧水电改造等。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采购包1（原中医科楼装修改造工程）：属于专门面向中小企业采购。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1、有效的主体资格证明：供应商为具有独立承担民事责任能力的企业法人、负责人或其他组织或自然人，并出具有效的营业执照或证明文件或自然人的身份证明。</w:t>
      </w:r>
    </w:p>
    <w:p>
      <w:pPr>
        <w:pStyle w:val="null3"/>
      </w:pPr>
      <w:r>
        <w:rPr>
          <w:rFonts w:ascii="仿宋_GB2312" w:hAnsi="仿宋_GB2312" w:cs="仿宋_GB2312" w:eastAsia="仿宋_GB2312"/>
        </w:rPr>
        <w:t>2、授权代表身份证明：供应商应授权合法的人员参加本项目磋商活动全过程，其中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p>
    <w:p>
      <w:pPr>
        <w:pStyle w:val="null3"/>
      </w:pPr>
      <w:r>
        <w:rPr>
          <w:rFonts w:ascii="仿宋_GB2312" w:hAnsi="仿宋_GB2312" w:cs="仿宋_GB2312" w:eastAsia="仿宋_GB2312"/>
        </w:rPr>
        <w:t>3、汉中市政府采购供应商资格承诺函：供应商须提供《汉中市政府采购供应商资格承诺函》。</w:t>
      </w:r>
    </w:p>
    <w:p>
      <w:pPr>
        <w:pStyle w:val="null3"/>
      </w:pPr>
      <w:r>
        <w:rPr>
          <w:rFonts w:ascii="仿宋_GB2312" w:hAnsi="仿宋_GB2312" w:cs="仿宋_GB2312" w:eastAsia="仿宋_GB2312"/>
        </w:rPr>
        <w:t>4、企业资质要求：供应商须具备建设行政主管部门颁发的建筑装修装饰专业承包二级及以上资质，并具有有效的安全生产许可证。</w:t>
      </w:r>
    </w:p>
    <w:p>
      <w:pPr>
        <w:pStyle w:val="null3"/>
      </w:pPr>
      <w:r>
        <w:rPr>
          <w:rFonts w:ascii="仿宋_GB2312" w:hAnsi="仿宋_GB2312" w:cs="仿宋_GB2312" w:eastAsia="仿宋_GB2312"/>
        </w:rPr>
        <w:t>5、项目经理资质要求：拟派本项目的项目经理须具备建筑工程专业二级及以上注册建造师，并具有有效的安全生产考核合格证书，且无在建工程(出具无在建承诺书）。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南郑区城关镇青年路9号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0916-5510722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汉中市汉台区西一环路蓝天御苑小区商铺二层门面房南侧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0916-8897702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采购包1：331,000.00元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依据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 2、采购代理服务费的缴纳方式：在领取《成交通知书》时向采购代理机构一次性全额缴纳采购代理服务费。 3、采购代理服务费以转账形式缴纳至以下账户： 缴纳账户户名：同正项目管理有限公司汉中分公司 开户行：中国建设银行股份有限公司汉中北环路支行 账号：6105 0165 5200 0000 0101 汇款备注：项目名称</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汉中市南郑区人民医院</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汉中市南郑区人民医院</w:t>
      </w:r>
      <w:r>
        <w:rPr>
          <w:rFonts w:ascii="仿宋_GB2312" w:hAnsi="仿宋_GB2312" w:cs="仿宋_GB2312" w:eastAsia="仿宋_GB2312"/>
        </w:rPr>
        <w:t>负责解释。除上述磋商文件内容，其他内容由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联系人：王丽</w:t>
      </w:r>
    </w:p>
    <w:p>
      <w:pPr>
        <w:pStyle w:val="null3"/>
      </w:pPr>
      <w:r>
        <w:rPr>
          <w:rFonts w:ascii="仿宋_GB2312" w:hAnsi="仿宋_GB2312" w:cs="仿宋_GB2312" w:eastAsia="仿宋_GB2312"/>
        </w:rPr>
        <w:t>联系电话：0916-8897702</w:t>
      </w:r>
    </w:p>
    <w:p>
      <w:pPr>
        <w:pStyle w:val="null3"/>
      </w:pPr>
      <w:r>
        <w:rPr>
          <w:rFonts w:ascii="仿宋_GB2312" w:hAnsi="仿宋_GB2312" w:cs="仿宋_GB2312" w:eastAsia="仿宋_GB2312"/>
        </w:rPr>
        <w:t>地址：汉中市汉台区西一环路蓝天御苑小区商铺二层门面房南侧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331,000.00</w:t>
      </w:r>
    </w:p>
    <w:p>
      <w:pPr>
        <w:pStyle w:val="null3"/>
      </w:pPr>
      <w:r>
        <w:rPr>
          <w:rFonts w:ascii="仿宋_GB2312" w:hAnsi="仿宋_GB2312" w:cs="仿宋_GB2312" w:eastAsia="仿宋_GB2312"/>
        </w:rPr>
        <w:t>采购包最高限价（元）: 330,416.07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原中医科楼装修改造工程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331,000.00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标的名称：原中医科楼装修改造工程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rPr>
              <w:t>（一）工程概况</w:t>
            </w:r>
          </w:p>
          <w:p>
            <w:pPr>
              <w:pStyle w:val="null3"/>
              <w:ind w:firstLine="560"/>
              <w:jc w:val="left"/>
            </w:pPr>
            <w:r>
              <w:rPr>
                <w:rFonts w:ascii="仿宋_GB2312" w:hAnsi="仿宋_GB2312" w:cs="仿宋_GB2312" w:eastAsia="仿宋_GB2312"/>
                <w:sz w:val="21"/>
              </w:rPr>
              <w:t>原中医科楼装修改造工程位于汉中市南郑区人民医院原中医科楼中，工程内容：拆除更换病房门和卫生间门、病房及走廊楼梯墙面铲除乳胶漆翻新，卫生间及走廊吊顶拆除新做，老旧水电改造等。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right="-180"/>
              <w:jc w:val="left"/>
            </w:pPr>
            <w:r>
              <w:rPr>
                <w:rFonts w:ascii="仿宋_GB2312" w:hAnsi="仿宋_GB2312" w:cs="仿宋_GB2312" w:eastAsia="仿宋_GB2312"/>
                <w:sz w:val="21"/>
                <w:b/>
              </w:rPr>
              <w:t>（二）编制依据</w:t>
            </w:r>
          </w:p>
          <w:p>
            <w:pPr>
              <w:pStyle w:val="null3"/>
              <w:ind w:firstLine="560"/>
              <w:jc w:val="both"/>
            </w:pPr>
            <w:r>
              <w:rPr>
                <w:rFonts w:ascii="仿宋_GB2312" w:hAnsi="仿宋_GB2312" w:cs="仿宋_GB2312" w:eastAsia="仿宋_GB2312"/>
                <w:sz w:val="21"/>
              </w:rPr>
              <w:t>1.现场勘察记录及楼栋图纸；</w:t>
            </w:r>
          </w:p>
          <w:p>
            <w:pPr>
              <w:pStyle w:val="null3"/>
              <w:ind w:firstLine="560"/>
              <w:jc w:val="both"/>
            </w:pPr>
            <w:r>
              <w:rPr>
                <w:rFonts w:ascii="仿宋_GB2312" w:hAnsi="仿宋_GB2312" w:cs="仿宋_GB2312" w:eastAsia="仿宋_GB2312"/>
                <w:sz w:val="21"/>
              </w:rPr>
              <w:t>2.</w:t>
            </w:r>
            <w:r>
              <w:rPr>
                <w:rFonts w:ascii="仿宋_GB2312" w:hAnsi="仿宋_GB2312" w:cs="仿宋_GB2312" w:eastAsia="仿宋_GB2312"/>
                <w:sz w:val="21"/>
              </w:rPr>
              <w:t>陕建标发【</w:t>
            </w:r>
            <w:r>
              <w:rPr>
                <w:rFonts w:ascii="仿宋_GB2312" w:hAnsi="仿宋_GB2312" w:cs="仿宋_GB2312" w:eastAsia="仿宋_GB2312"/>
                <w:sz w:val="21"/>
              </w:rPr>
              <w:t>2025】2号文颁布的《陕西省建设工程工程量清单计价标准及计算标准2025》；</w:t>
            </w:r>
          </w:p>
          <w:p>
            <w:pPr>
              <w:pStyle w:val="null3"/>
              <w:ind w:firstLine="560"/>
              <w:jc w:val="both"/>
            </w:pPr>
            <w:r>
              <w:rPr>
                <w:rFonts w:ascii="仿宋_GB2312" w:hAnsi="仿宋_GB2312" w:cs="仿宋_GB2312" w:eastAsia="仿宋_GB2312"/>
                <w:sz w:val="21"/>
              </w:rPr>
              <w:t>3.陕建管发【2025】10号文颁布的《陕西省房屋建筑与装饰工程消耗量定额(2025)》、《陕西省通用安装工程消耗量定额(2025)》、《陕西省市政工程消耗量定额(2025)》、《陕西省园林绿化工程消耗量定额(2025)》、《陕西省城市地下综合管廊工程消耗量定额(2025)》、《陕西省绿色建筑工程消耗量定额(2025)》、《陕西省建设工程费用规则(2025)》及相关配套文件；</w:t>
            </w:r>
          </w:p>
          <w:p>
            <w:pPr>
              <w:pStyle w:val="null3"/>
              <w:ind w:firstLine="560"/>
              <w:jc w:val="both"/>
            </w:pPr>
            <w:r>
              <w:rPr>
                <w:rFonts w:ascii="仿宋_GB2312" w:hAnsi="仿宋_GB2312" w:cs="仿宋_GB2312" w:eastAsia="仿宋_GB2312"/>
                <w:sz w:val="21"/>
              </w:rPr>
              <w:t>4.陕建管发发【2025】10号文颁布的《陕西省房屋建筑与装饰工程基价表》、《陕西省通用安装工程基价表》、《陕西省市政工程基价表》、《陕西省园林绿化工程基价表》、《陕西省城市地下综合管廊工程基价表》及《陕西省绿色建筑工程基价表》；</w:t>
            </w:r>
          </w:p>
          <w:p>
            <w:pPr>
              <w:pStyle w:val="null3"/>
              <w:ind w:firstLine="560"/>
              <w:jc w:val="both"/>
            </w:pPr>
            <w:r>
              <w:rPr>
                <w:rFonts w:ascii="仿宋_GB2312" w:hAnsi="仿宋_GB2312" w:cs="仿宋_GB2312" w:eastAsia="仿宋_GB2312"/>
                <w:sz w:val="21"/>
              </w:rPr>
              <w:t>5.材料单价按照汉中市建设工程造价管理办公室下发的《汉中建设工程造价信息2025年第11期信息价》及当地市场价计算。</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（三）商务要求（本项为实质性响应要求，不得负偏离）</w:t>
            </w:r>
          </w:p>
          <w:p>
            <w:pPr>
              <w:pStyle w:val="null3"/>
              <w:jc w:val="both"/>
            </w:pPr>
            <w:r>
              <w:rPr>
                <w:rFonts w:ascii="仿宋_GB2312" w:hAnsi="仿宋_GB2312" w:cs="仿宋_GB2312" w:eastAsia="仿宋_GB2312"/>
                <w:sz w:val="21"/>
              </w:rPr>
              <w:t>1. 工期：40天。</w:t>
            </w:r>
          </w:p>
          <w:p>
            <w:pPr>
              <w:pStyle w:val="null3"/>
              <w:jc w:val="both"/>
            </w:pPr>
            <w:r>
              <w:rPr>
                <w:rFonts w:ascii="仿宋_GB2312" w:hAnsi="仿宋_GB2312" w:cs="仿宋_GB2312" w:eastAsia="仿宋_GB2312"/>
                <w:sz w:val="21"/>
              </w:rPr>
              <w:t>2. 质量要求：符合国家现行有关施工质量验收规范“合格”要求。</w:t>
            </w:r>
          </w:p>
          <w:p>
            <w:pPr>
              <w:pStyle w:val="null3"/>
              <w:jc w:val="both"/>
            </w:pPr>
            <w:r>
              <w:rPr>
                <w:rFonts w:ascii="仿宋_GB2312" w:hAnsi="仿宋_GB2312" w:cs="仿宋_GB2312" w:eastAsia="仿宋_GB2312"/>
                <w:sz w:val="21"/>
              </w:rPr>
              <w:t>3. 缺陷责任期：工程验收合格后两年；质量保修期：自竣工验收合格之日起满两年。</w:t>
            </w:r>
          </w:p>
          <w:p>
            <w:pPr>
              <w:pStyle w:val="null3"/>
              <w:jc w:val="both"/>
            </w:pPr>
            <w:r>
              <w:rPr>
                <w:rFonts w:ascii="仿宋_GB2312" w:hAnsi="仿宋_GB2312" w:cs="仿宋_GB2312" w:eastAsia="仿宋_GB2312"/>
                <w:sz w:val="21"/>
              </w:rPr>
              <w:t>4. 漏项处理：施工过程中发现工程量清单中存在漏项工程的，该漏项工程作为本项目采购的组成部分，采购人和供应商可以按照双方合同的规定协商解决。</w:t>
            </w:r>
          </w:p>
          <w:p>
            <w:pPr>
              <w:pStyle w:val="null3"/>
              <w:jc w:val="both"/>
            </w:pPr>
            <w:r>
              <w:rPr>
                <w:rFonts w:ascii="仿宋_GB2312" w:hAnsi="仿宋_GB2312" w:cs="仿宋_GB2312" w:eastAsia="仿宋_GB2312"/>
                <w:sz w:val="21"/>
              </w:rPr>
              <w:t xml:space="preserve">5.合同支付约定： </w:t>
            </w:r>
            <w:r>
              <w:rPr>
                <w:rFonts w:ascii="仿宋_GB2312" w:hAnsi="仿宋_GB2312" w:cs="仿宋_GB2312" w:eastAsia="仿宋_GB2312"/>
                <w:sz w:val="21"/>
              </w:rPr>
              <w:t>项目验收后 ，达到付款条件起 20 日内，支付合同总金额的 100.00%。</w:t>
            </w:r>
          </w:p>
          <w:p>
            <w:pPr>
              <w:pStyle w:val="null3"/>
              <w:jc w:val="both"/>
            </w:pPr>
            <w:r>
              <w:rPr>
                <w:rFonts w:ascii="仿宋_GB2312" w:hAnsi="仿宋_GB2312" w:cs="仿宋_GB2312" w:eastAsia="仿宋_GB2312"/>
                <w:sz w:val="21"/>
              </w:rPr>
              <w:t>6.施工要求：</w:t>
            </w:r>
          </w:p>
          <w:p>
            <w:pPr>
              <w:pStyle w:val="null3"/>
              <w:jc w:val="both"/>
            </w:pPr>
            <w:r>
              <w:rPr>
                <w:rFonts w:ascii="仿宋_GB2312" w:hAnsi="仿宋_GB2312" w:cs="仿宋_GB2312" w:eastAsia="仿宋_GB2312"/>
                <w:sz w:val="21"/>
              </w:rPr>
              <w:t>6.1 遵守国家相关法律、法规，遵守国家相关技术规范；</w:t>
            </w:r>
          </w:p>
          <w:p>
            <w:pPr>
              <w:pStyle w:val="null3"/>
              <w:jc w:val="both"/>
            </w:pPr>
            <w:r>
              <w:rPr>
                <w:rFonts w:ascii="仿宋_GB2312" w:hAnsi="仿宋_GB2312" w:cs="仿宋_GB2312" w:eastAsia="仿宋_GB2312"/>
                <w:sz w:val="21"/>
              </w:rPr>
              <w:t>6.2 所选材料必须保证质量可靠、进货渠道正常，符合国家环保等相关标准，满足施工要求；</w:t>
            </w:r>
          </w:p>
          <w:p>
            <w:pPr>
              <w:pStyle w:val="null3"/>
              <w:jc w:val="both"/>
            </w:pPr>
            <w:r>
              <w:rPr>
                <w:rFonts w:ascii="仿宋_GB2312" w:hAnsi="仿宋_GB2312" w:cs="仿宋_GB2312" w:eastAsia="仿宋_GB2312"/>
                <w:sz w:val="21"/>
              </w:rPr>
              <w:t>6.3 工程质量符合国家有关规范，确保达到合格；</w:t>
            </w:r>
          </w:p>
          <w:p>
            <w:pPr>
              <w:pStyle w:val="null3"/>
              <w:jc w:val="both"/>
            </w:pPr>
            <w:r>
              <w:rPr>
                <w:rFonts w:ascii="仿宋_GB2312" w:hAnsi="仿宋_GB2312" w:cs="仿宋_GB2312" w:eastAsia="仿宋_GB2312"/>
                <w:sz w:val="21"/>
              </w:rPr>
              <w:t>6.4 遵守有关施工规范和安全操作规程，采取有效的安全保障措施，确保施工安全，包括悬挂警示标牌、装设围栏、配备安全人员等，并承担事故的全部费用和责任；</w:t>
            </w:r>
          </w:p>
          <w:p>
            <w:pPr>
              <w:pStyle w:val="null3"/>
              <w:jc w:val="both"/>
            </w:pPr>
            <w:r>
              <w:rPr>
                <w:rFonts w:ascii="仿宋_GB2312" w:hAnsi="仿宋_GB2312" w:cs="仿宋_GB2312" w:eastAsia="仿宋_GB2312"/>
                <w:sz w:val="21"/>
              </w:rPr>
              <w:t>6.5 施工单位必须服从当地对治安、卫生、环保、社会保险等工程建设的统一管理，并按有关规定交纳费用以及因违反相关规定而造成的罚款；</w:t>
            </w:r>
          </w:p>
          <w:p>
            <w:pPr>
              <w:pStyle w:val="null3"/>
              <w:jc w:val="both"/>
            </w:pPr>
            <w:r>
              <w:rPr>
                <w:rFonts w:ascii="仿宋_GB2312" w:hAnsi="仿宋_GB2312" w:cs="仿宋_GB2312" w:eastAsia="仿宋_GB2312"/>
                <w:sz w:val="21"/>
              </w:rPr>
              <w:t>6.6 本工程不允许转包；</w:t>
            </w:r>
          </w:p>
          <w:p>
            <w:pPr>
              <w:pStyle w:val="null3"/>
              <w:jc w:val="both"/>
            </w:pPr>
            <w:r>
              <w:rPr>
                <w:rFonts w:ascii="仿宋_GB2312" w:hAnsi="仿宋_GB2312" w:cs="仿宋_GB2312" w:eastAsia="仿宋_GB2312"/>
                <w:sz w:val="21"/>
              </w:rPr>
              <w:t>6.7 供应商自行办理垃圾清理手续，遵守当地政府垃圾分类处理有关规定，承担自行处置不当导致的全部费用和责任。</w:t>
            </w:r>
          </w:p>
          <w:p>
            <w:pPr>
              <w:pStyle w:val="null3"/>
              <w:jc w:val="both"/>
            </w:pPr>
            <w:r>
              <w:rPr>
                <w:rFonts w:ascii="仿宋_GB2312" w:hAnsi="仿宋_GB2312" w:cs="仿宋_GB2312" w:eastAsia="仿宋_GB2312"/>
                <w:sz w:val="21"/>
              </w:rPr>
              <w:t>7.质量验收标准或规范：</w:t>
            </w:r>
          </w:p>
          <w:p>
            <w:pPr>
              <w:pStyle w:val="null3"/>
              <w:jc w:val="both"/>
            </w:pPr>
            <w:r>
              <w:rPr>
                <w:rFonts w:ascii="仿宋_GB2312" w:hAnsi="仿宋_GB2312" w:cs="仿宋_GB2312" w:eastAsia="仿宋_GB2312"/>
                <w:sz w:val="21"/>
              </w:rPr>
              <w:t>7.1 国家现行有关法律、法规、环保和技术指标；</w:t>
            </w:r>
          </w:p>
          <w:p>
            <w:pPr>
              <w:pStyle w:val="null3"/>
              <w:jc w:val="both"/>
            </w:pPr>
            <w:r>
              <w:rPr>
                <w:rFonts w:ascii="仿宋_GB2312" w:hAnsi="仿宋_GB2312" w:cs="仿宋_GB2312" w:eastAsia="仿宋_GB2312"/>
                <w:sz w:val="21"/>
              </w:rPr>
              <w:t>7.2 本项目施工合同；</w:t>
            </w:r>
          </w:p>
          <w:p>
            <w:pPr>
              <w:pStyle w:val="null3"/>
              <w:jc w:val="both"/>
            </w:pPr>
            <w:r>
              <w:rPr>
                <w:rFonts w:ascii="仿宋_GB2312" w:hAnsi="仿宋_GB2312" w:cs="仿宋_GB2312" w:eastAsia="仿宋_GB2312"/>
                <w:sz w:val="21"/>
              </w:rPr>
              <w:t>7.3 经批准的设计文件及工程变更文件；</w:t>
            </w:r>
          </w:p>
          <w:p>
            <w:pPr>
              <w:pStyle w:val="null3"/>
              <w:jc w:val="both"/>
            </w:pPr>
            <w:r>
              <w:rPr>
                <w:rFonts w:ascii="仿宋_GB2312" w:hAnsi="仿宋_GB2312" w:cs="仿宋_GB2312" w:eastAsia="仿宋_GB2312"/>
                <w:sz w:val="21"/>
              </w:rPr>
              <w:t>7.4 有关部政府部门的规定。</w:t>
            </w:r>
          </w:p>
          <w:p>
            <w:pPr>
              <w:pStyle w:val="null3"/>
              <w:jc w:val="both"/>
            </w:pPr>
            <w:r>
              <w:rPr>
                <w:rFonts w:ascii="仿宋_GB2312" w:hAnsi="仿宋_GB2312" w:cs="仿宋_GB2312" w:eastAsia="仿宋_GB2312"/>
                <w:sz w:val="21"/>
              </w:rPr>
              <w:t>8.项目检验与验收：</w:t>
            </w:r>
          </w:p>
          <w:p>
            <w:pPr>
              <w:pStyle w:val="null3"/>
              <w:jc w:val="both"/>
            </w:pPr>
            <w:r>
              <w:rPr>
                <w:rFonts w:ascii="仿宋_GB2312" w:hAnsi="仿宋_GB2312" w:cs="仿宋_GB2312" w:eastAsia="仿宋_GB2312"/>
                <w:sz w:val="21"/>
              </w:rPr>
              <w:t>8.1 成交供应商向采购人提交项目实施过程中的所有资料；</w:t>
            </w:r>
          </w:p>
          <w:p>
            <w:pPr>
              <w:pStyle w:val="null3"/>
              <w:jc w:val="both"/>
            </w:pPr>
            <w:r>
              <w:rPr>
                <w:rFonts w:ascii="仿宋_GB2312" w:hAnsi="仿宋_GB2312" w:cs="仿宋_GB2312" w:eastAsia="仿宋_GB2312"/>
                <w:sz w:val="21"/>
              </w:rPr>
              <w:t>8.2 验收须以合同、磋商文件及响应文件、澄清、及国家相应的标准、规范等为依据。</w:t>
            </w:r>
          </w:p>
          <w:p>
            <w:pPr>
              <w:pStyle w:val="null3"/>
              <w:jc w:val="both"/>
            </w:pPr>
            <w:r>
              <w:rPr>
                <w:rFonts w:ascii="仿宋_GB2312" w:hAnsi="仿宋_GB2312" w:cs="仿宋_GB2312" w:eastAsia="仿宋_GB2312"/>
                <w:sz w:val="21"/>
              </w:rPr>
              <w:t>9.合同的变更、中止、终止：合同一经签订，不得擅自变更、中止或者终止合同。对确需变更、调整或者中止、终止合同的，由双方协商解决。</w:t>
            </w:r>
          </w:p>
          <w:p>
            <w:pPr>
              <w:pStyle w:val="null3"/>
              <w:jc w:val="both"/>
            </w:pPr>
            <w:r>
              <w:rPr>
                <w:rFonts w:ascii="仿宋_GB2312" w:hAnsi="仿宋_GB2312" w:cs="仿宋_GB2312" w:eastAsia="仿宋_GB2312"/>
                <w:sz w:val="21"/>
              </w:rPr>
              <w:t>10.合同争议的处理：合同在履行过程中发生的争议，当事人双方应协商解决，协商达不成一致时，可向采购方所在地仲裁委员会申请仲裁或者向人民法院提请诉讼。</w:t>
            </w:r>
          </w:p>
          <w:p>
            <w:pPr>
              <w:pStyle w:val="null3"/>
              <w:jc w:val="both"/>
            </w:pPr>
            <w:r>
              <w:rPr>
                <w:rFonts w:ascii="仿宋_GB2312" w:hAnsi="仿宋_GB2312" w:cs="仿宋_GB2312" w:eastAsia="仿宋_GB2312"/>
                <w:sz w:val="21"/>
              </w:rPr>
              <w:t>11.违约责任：</w:t>
            </w:r>
          </w:p>
          <w:p>
            <w:pPr>
              <w:pStyle w:val="null3"/>
              <w:jc w:val="both"/>
            </w:pPr>
            <w:r>
              <w:rPr>
                <w:rFonts w:ascii="仿宋_GB2312" w:hAnsi="仿宋_GB2312" w:cs="仿宋_GB2312" w:eastAsia="仿宋_GB2312"/>
                <w:sz w:val="21"/>
              </w:rPr>
              <w:t>11.1 按《中华人民共和国政府采购法》《中华人民共和国民法典》中的相关条款执行；</w:t>
            </w:r>
          </w:p>
          <w:p>
            <w:pPr>
              <w:pStyle w:val="null3"/>
              <w:jc w:val="both"/>
            </w:pPr>
            <w:r>
              <w:rPr>
                <w:rFonts w:ascii="仿宋_GB2312" w:hAnsi="仿宋_GB2312" w:cs="仿宋_GB2312" w:eastAsia="仿宋_GB2312"/>
                <w:sz w:val="21"/>
              </w:rPr>
              <w:t>11.2 未按要求提供货物、质量、环保标准不能满足技术要求的，施工方必须无条件更换，否则，采购单位有权终止合同，并对施工方的违约行为报监管机构进行相应的处罚。</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1.特别注意:为顺利推进政府采购电子化交易平台应用工作，供应商需要在线提交所有通过电子化交易平台实施的政府采购项目的磋商响应文件。 2.成交供应商在采购结果发布后3个工作日内向代理机构提交纸质版响应文件以便于存档，响应文件正本1份，副本2份，电子版文件2份（以U盘为载体，签字盖章扫描后的PDF版本响应文件）。纸质响应文件均须A4纸打印，分别各自装订成册。线下递交响应文件地点：汉中市汉台区西一环路蓝天御苑小区商铺二层门面房南侧。 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供应商为具有独立承担民事责任能力的企业法人、负责人或其他组织或自然人，并出具有效的营业执照或证明文件或自然人的身份证明。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供应商应授权合法的人员参加本项目磋商活动全过程，其中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供应商须具备建设行政主管部门颁发的建筑装修装饰专业承包二级及以上资质，并具有有效的安全生产许可证。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项目经理资质要求</w:t>
            </w:r>
          </w:p>
        </w:tc>
        <w:tc>
          <w:tcPr>
            <w:tcW w:type="dxa" w:w="3322"/>
          </w:tcPr>
          <w:p>
            <w:pPr>
              <w:pStyle w:val="null3"/>
            </w:pPr>
            <w:r>
              <w:rPr>
                <w:rFonts w:ascii="仿宋_GB2312" w:hAnsi="仿宋_GB2312" w:cs="仿宋_GB2312" w:eastAsia="仿宋_GB2312"/>
              </w:rPr>
              <w:t>拟派本项目的项目经理须具备建筑工程专业二级及以上注册建造师，并具有有效的安全生产考核合格证书，且无在建工程(出具无在建承诺书）。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响应文件封面 施工设备配置表.docx 已标价工程量清单.docx 供应商应提交的相关资格证明材料.docx 中小企业声明函 报价函 商务要求应答表.docx 标的清单 供应商类似项目业绩一览表 拟派项目团队人员配置表.docx 项目经理简历表.docx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已标价工程量清单.docx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磋商响应文件语言、计量单位、报价货币</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已标价工程量清单.docx 中小企业声明函 商务要求应答表.docx 响应文件封面 施工设备配置表.docx 供应商应提交的相关资格证明材料.docx 残疾人福利性单位声明函 报价函 标的清单 供应商类似项目业绩一览表 拟派项目团队人员配置表.docx 项目经理简历表.docx 响应函 总服务方案.docx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已标价工程量清单.docx 中小企业声明函 商务要求应答表.docx 响应文件封面 施工设备配置表.docx 供应商应提交的相关资格证明材料.docx 残疾人福利性单位声明函 报价函 标的清单 供应商类似项目业绩一览表 拟派项目团队人员配置表.docx 项目经理简历表.docx 响应函 总服务方案.docx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已标价工程量清单.docx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一、评审内容：针对本项目施工内容制定施工方案，包括①项目整体思路；②项目重点难点；③施工实施的流程；④管理规章制度方案。 二、赋分标准： 1.完整性：对上述各项内容均有描述，得4分；每缺1项扣1分，扣完为止。此项不提供不得分。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安全施工、文明施工管理制度及措施</w:t>
            </w:r>
          </w:p>
        </w:tc>
        <w:tc>
          <w:tcPr>
            <w:tcW w:type="dxa" w:w="2492"/>
          </w:tcPr>
          <w:p>
            <w:pPr>
              <w:pStyle w:val="null3"/>
            </w:pPr>
            <w:r>
              <w:rPr>
                <w:rFonts w:ascii="仿宋_GB2312" w:hAnsi="仿宋_GB2312" w:cs="仿宋_GB2312" w:eastAsia="仿宋_GB2312"/>
              </w:rPr>
              <w:t>一、评审内容：针对本项目制定安全施工、文明施工管理制度及措施，包括①安全施工、文明施工管理制度；②安全施工、文明施工管理措施。 二、赋分标准： 1.完整性：对上述各项内容均有描述，得2分；每缺1项扣1分，扣完为止。此项不提供不得分。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工期的技术组织措施</w:t>
            </w:r>
          </w:p>
        </w:tc>
        <w:tc>
          <w:tcPr>
            <w:tcW w:type="dxa" w:w="2492"/>
          </w:tcPr>
          <w:p>
            <w:pPr>
              <w:pStyle w:val="null3"/>
            </w:pPr>
            <w:r>
              <w:rPr>
                <w:rFonts w:ascii="仿宋_GB2312" w:hAnsi="仿宋_GB2312" w:cs="仿宋_GB2312" w:eastAsia="仿宋_GB2312"/>
              </w:rPr>
              <w:t>一、评审内容：针对本项目制定工期的技术组织措施，包括①工期的技术组织措施；②施工工期进度安排。 二、赋分标准： 1.完整性：对上述各项内容均有描述，得2分；每缺1项扣1分，扣完为止。此项不提供不得分。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应急预案措施</w:t>
            </w:r>
          </w:p>
        </w:tc>
        <w:tc>
          <w:tcPr>
            <w:tcW w:type="dxa" w:w="2492"/>
          </w:tcPr>
          <w:p>
            <w:pPr>
              <w:pStyle w:val="null3"/>
            </w:pPr>
            <w:r>
              <w:rPr>
                <w:rFonts w:ascii="仿宋_GB2312" w:hAnsi="仿宋_GB2312" w:cs="仿宋_GB2312" w:eastAsia="仿宋_GB2312"/>
              </w:rPr>
              <w:t>一、评审内容：针对本项目制定应急预案措施进行评审。 二、赋分标准： 1.完整性：对上述内容有描述，得1分；不提供不得分。 2.针对性：上述内容针对性明确得2分；针对性较明确得1分；缺乏针对性得0分。此项不提供不得分。 3.可实施性：上述内容可实施性合理得2分；可实施性较合理得1分；缺乏可实施性得0分。此项不提供不得分。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劳动力配备</w:t>
            </w:r>
          </w:p>
        </w:tc>
        <w:tc>
          <w:tcPr>
            <w:tcW w:type="dxa" w:w="2492"/>
          </w:tcPr>
          <w:p>
            <w:pPr>
              <w:pStyle w:val="null3"/>
            </w:pPr>
            <w:r>
              <w:rPr>
                <w:rFonts w:ascii="仿宋_GB2312" w:hAnsi="仿宋_GB2312" w:cs="仿宋_GB2312" w:eastAsia="仿宋_GB2312"/>
              </w:rPr>
              <w:t>一、评审内容：针对本项目劳动力配备进行评审。 二、赋分标准： 1.完整性：对上述内容有描述得1分，此项不提供不得分。 2.针对性：上述内容针对性明确得2分；针对性较明确得1分；缺乏针对性得0分。此项不提供不得分。 3.可实施性：上述内容可实施性合理得2分；可实施性较合理得1分；缺乏可实施性得0分。此项不提供不得分。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一、评审内容：供应商提供2024年2月至今完成的类似项目业绩。 二、赋分标准：每提供一个合格业绩得2.5分，满分5分。未提供此项内容不得分。 注：业绩以中标（成交）通知书或合同（协议书)为准，响应文件内附复印件并签章。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工程质量保证管理制度及措施</w:t>
            </w:r>
          </w:p>
        </w:tc>
        <w:tc>
          <w:tcPr>
            <w:tcW w:type="dxa" w:w="2492"/>
          </w:tcPr>
          <w:p>
            <w:pPr>
              <w:pStyle w:val="null3"/>
            </w:pPr>
            <w:r>
              <w:rPr>
                <w:rFonts w:ascii="仿宋_GB2312" w:hAnsi="仿宋_GB2312" w:cs="仿宋_GB2312" w:eastAsia="仿宋_GB2312"/>
              </w:rPr>
              <w:t>一、评审内容：针对本项目制定工程质量保证管理制度及措施，包括①工程质量保证管理制度；②工程质量保证管理措施。 二、赋分标准： 1.完整性：对上述各项内容均有描述，得2分；每缺1项扣1分，扣完为止。此项不提供不得分。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降低环境污染措施及环境保护管理制度</w:t>
            </w:r>
          </w:p>
        </w:tc>
        <w:tc>
          <w:tcPr>
            <w:tcW w:type="dxa" w:w="2492"/>
          </w:tcPr>
          <w:p>
            <w:pPr>
              <w:pStyle w:val="null3"/>
            </w:pPr>
            <w:r>
              <w:rPr>
                <w:rFonts w:ascii="仿宋_GB2312" w:hAnsi="仿宋_GB2312" w:cs="仿宋_GB2312" w:eastAsia="仿宋_GB2312"/>
              </w:rPr>
              <w:t>一、评审内容：针对本项目制定降低环境污染措施及环境保护管理制度，包括①降低环境污染措施；②环境保护管理制度。 二、赋分标准： 1.完整性：对上述各项内容均有描述，得2分；每缺1项扣1分，扣完为止。此项不提供不得分。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施工机械设备配备</w:t>
            </w:r>
          </w:p>
        </w:tc>
        <w:tc>
          <w:tcPr>
            <w:tcW w:type="dxa" w:w="2492"/>
          </w:tcPr>
          <w:p>
            <w:pPr>
              <w:pStyle w:val="null3"/>
            </w:pPr>
            <w:r>
              <w:rPr>
                <w:rFonts w:ascii="仿宋_GB2312" w:hAnsi="仿宋_GB2312" w:cs="仿宋_GB2312" w:eastAsia="仿宋_GB2312"/>
              </w:rPr>
              <w:t>一、评审内容：针对本项目拟投入的主要施工机械设备配备进行评审。 二、赋分标准： 1.完整性：对上述内容有描述得1分，此项不提供不得分。 2.针对性：上述内容针对性明确得2分；针对性较明确，每项内容得1分；缺乏针对性，每项内容得0分。此项不提供不得分。 3.可实施性：上述内容可实施性合理得2分；可实施性较合理，每项内容得1分；缺乏可实施性，每项内容得0分。此项不提供不得分。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施工设备配置表.docx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一、评审内容：供应商针对本项目特点提供切实可行的施工安全承诺、文明施工承诺、施工质量保证承诺、工期保证承诺、施工环境承诺，保证按时按质按量完成本项目。 二、赋分标准：每提供一项承诺得1分，满分5分。未提供此项内容不得分。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项目组织人员配备</w:t>
            </w:r>
          </w:p>
        </w:tc>
        <w:tc>
          <w:tcPr>
            <w:tcW w:type="dxa" w:w="2492"/>
          </w:tcPr>
          <w:p>
            <w:pPr>
              <w:pStyle w:val="null3"/>
            </w:pPr>
            <w:r>
              <w:rPr>
                <w:rFonts w:ascii="仿宋_GB2312" w:hAnsi="仿宋_GB2312" w:cs="仿宋_GB2312" w:eastAsia="仿宋_GB2312"/>
              </w:rPr>
              <w:t>一、评审内容： 所配备项目技术负责人、施工员、质检员、安全员、材料员，具备相关专业技术职称或岗位证书。 二、评审标准： 全部满足得 5 分，每缺少一人或相应人员无证书证件扣 1 分，扣完为止。 响应文件内附相应人员证书证件复印件并签章。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拟派项目团队人员配置表.docx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1.上限为采购最高限价，即报价大于上限价视为无效报价； 2.以满足本次磋商文件要求的最低报价为评审基准价，其价格为满分； 3.磋商供应商报价得分=（评审基准价/最终报价）×10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详见附件：拟派项目团队人员配置表.docx</w:t>
      </w:r>
    </w:p>
    <w:p>
      <w:pPr>
        <w:pStyle w:val="null3"/>
        <w:ind w:firstLine="960"/>
      </w:pPr>
      <w:r>
        <w:rPr>
          <w:rFonts w:ascii="仿宋_GB2312" w:hAnsi="仿宋_GB2312" w:cs="仿宋_GB2312" w:eastAsia="仿宋_GB2312"/>
        </w:rPr>
        <w:t>详见附件：项目经理简历表.docx</w:t>
      </w:r>
    </w:p>
    <w:p>
      <w:pPr>
        <w:pStyle w:val="null3"/>
        <w:ind w:firstLine="960"/>
      </w:pPr>
      <w:r>
        <w:rPr>
          <w:rFonts w:ascii="仿宋_GB2312" w:hAnsi="仿宋_GB2312" w:cs="仿宋_GB2312" w:eastAsia="仿宋_GB2312"/>
        </w:rPr>
        <w:t>详见附件：施工设备配置表.docx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详见附件：总服务方案.docx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