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版本号：ZC2026-FW-05020260226001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南郑区2025年“三化一片林”森林乡村建设项目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ZC2026-FW-050</w:t>
      </w:r>
      <w:r>
        <w:br/>
      </w:r>
      <w:r>
        <w:br/>
      </w:r>
      <w:r>
        <w:br/>
      </w:r>
    </w:p>
    <w:p>
      <w:pPr>
        <w:pStyle w:val="null3"/>
        <w:jc w:val="center"/>
        <w:outlineLvl w:val="2"/>
      </w:pPr>
      <w:r>
        <w:rPr>
          <w:rFonts w:ascii="仿宋_GB2312" w:hAnsi="仿宋_GB2312" w:cs="仿宋_GB2312" w:eastAsia="仿宋_GB2312"/>
          <w:sz w:val="28"/>
          <w:b/>
        </w:rPr>
        <w:t>汉中市南郑区林业局</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汉中市南郑区林业局</w:t>
      </w:r>
      <w:r>
        <w:rPr>
          <w:rFonts w:ascii="仿宋_GB2312" w:hAnsi="仿宋_GB2312" w:cs="仿宋_GB2312" w:eastAsia="仿宋_GB2312"/>
        </w:rPr>
        <w:t>委托，拟对</w:t>
      </w:r>
      <w:r>
        <w:rPr>
          <w:rFonts w:ascii="仿宋_GB2312" w:hAnsi="仿宋_GB2312" w:cs="仿宋_GB2312" w:eastAsia="仿宋_GB2312"/>
        </w:rPr>
        <w:t>南郑区2025年“三化一片林”森林乡村建设项目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ZC2026-FW-050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南郑区2025年“三化一片林”森林乡村建设项目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项目建设内容：实施地点位于南郑区高台镇立峰村和两河镇炉河坝村，在立峰村完成庭院绿化180户、道路绿化 2400 米、小沟水库沿岸绿化600米、森林抚育 1 处面积 80 亩。在炉河坝村完成庭院绿化50户、道路绿化 2000 米、沟渠、河流沿线绿化2000米、改造提升厚朴林1处面积 20 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采购包1（南郑区2025年“三化一片林”森林乡村建设项目）：属于专门面向中小企业采购。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合法登记证明：供应商应为合法注册并具有独立承担民事责任能力的的企业法人、事业法人、其他组织或自然人。企业法人应提供合法有效的标识有统一社会信用代码的营业执照；事业法人应提供事业单位法人证书；其他组织应提供合法登记证明文件；自然人提供身份证明。供应商需在项目电子化交易系统中按要求上传相应证明文件并进行电子签章；</w:t>
      </w:r>
    </w:p>
    <w:p>
      <w:pPr>
        <w:pStyle w:val="null3"/>
      </w:pPr>
      <w:r>
        <w:rPr>
          <w:rFonts w:ascii="仿宋_GB2312" w:hAnsi="仿宋_GB2312" w:cs="仿宋_GB2312" w:eastAsia="仿宋_GB2312"/>
        </w:rPr>
        <w:t>2、法定代表人：供应商需提供法定代表人身份证明，供应商需在项目电子化交易系统中按要求上传相应证明文件并进行电子签章；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供应商需在项目电子化交易系统中按要求上传相应证明文件并进行电子签章</w:t>
      </w:r>
    </w:p>
    <w:p>
      <w:pPr>
        <w:pStyle w:val="null3"/>
      </w:pPr>
      <w:r>
        <w:rPr>
          <w:rFonts w:ascii="仿宋_GB2312" w:hAnsi="仿宋_GB2312" w:cs="仿宋_GB2312" w:eastAsia="仿宋_GB2312"/>
        </w:rPr>
        <w:t>4、中小企业声明函：本项目专门面向中小企业采购，供应商须提供中小企业声明函</w:t>
      </w:r>
    </w:p>
    <w:p>
      <w:pPr>
        <w:pStyle w:val="null3"/>
      </w:pPr>
      <w:r>
        <w:rPr>
          <w:rFonts w:ascii="仿宋_GB2312" w:hAnsi="仿宋_GB2312" w:cs="仿宋_GB2312" w:eastAsia="仿宋_GB2312"/>
        </w:rPr>
        <w:t>5、非联合体投标书面声明：本项目不接受联合体投标，投标供应商须提供《非联合体投标书面声明》视为独立响应，不分包。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南郑区汉山街道办事处南环路2号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13991605160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西安市高新区高新三路9号新时代大厦西四楼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18189275352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开户名称：陕西中采项目管理有限公司汉中分公司</w:t>
            </w:r>
          </w:p>
          <w:p>
            <w:pPr>
              <w:pStyle w:val="null3"/>
            </w:pPr>
            <w:r>
              <w:rPr>
                <w:rFonts w:ascii="仿宋_GB2312" w:hAnsi="仿宋_GB2312" w:cs="仿宋_GB2312" w:eastAsia="仿宋_GB2312"/>
              </w:rPr>
              <w:t>开户银行：中国建设银行股份有限公司汉中南一环路支行</w:t>
            </w:r>
          </w:p>
          <w:p>
            <w:pPr>
              <w:pStyle w:val="null3"/>
            </w:pPr>
            <w:r>
              <w:rPr>
                <w:rFonts w:ascii="仿宋_GB2312" w:hAnsi="仿宋_GB2312" w:cs="仿宋_GB2312" w:eastAsia="仿宋_GB2312"/>
              </w:rPr>
              <w:t>银行账号：61050111271100000162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标代理服务收费管理暂行办法的通知》(计价格【2002】1980号)和国家发改委办公厅国发的《关于招标代理服务收费有关问题的通知》(发改办价格【2003】857号)文件规定的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汉中市南郑区林业局</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联系电话：18189275352</w:t>
      </w:r>
    </w:p>
    <w:p>
      <w:pPr>
        <w:pStyle w:val="null3"/>
      </w:pPr>
      <w:r>
        <w:rPr>
          <w:rFonts w:ascii="仿宋_GB2312" w:hAnsi="仿宋_GB2312" w:cs="仿宋_GB2312" w:eastAsia="仿宋_GB2312"/>
        </w:rPr>
        <w:t>地址：西安市高新区高新三路9号新时代大厦西四楼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项目建设内容：实施地点位于南郑区高台镇立峰村和两河镇炉河坝村，在立峰村完成庭院绿化180户、道路绿化 2400 米、小沟水库沿岸绿化600米、森林抚育 1 处面积 80 亩。在炉河坝村完成庭院绿化50户、道路绿化 2000 米、沟渠、河流沿线绿化2000米、改造提升厚朴林1处面积 20 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南郑区高台镇立峰村和两河镇炉河坝村森林乡村建设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标的名称：南郑区高台镇立峰村和两河镇炉河坝村森林乡村建设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一、项目概况：</w:t>
            </w:r>
            <w:r>
              <w:rPr>
                <w:rFonts w:ascii="仿宋_GB2312" w:hAnsi="仿宋_GB2312" w:cs="仿宋_GB2312" w:eastAsia="仿宋_GB2312"/>
                <w:sz w:val="28"/>
              </w:rPr>
              <w:t>实施地点位于南郑区高台镇立峰村和两河镇炉河坝村，在立峰村完成庭院绿化</w:t>
            </w:r>
            <w:r>
              <w:rPr>
                <w:rFonts w:ascii="仿宋_GB2312" w:hAnsi="仿宋_GB2312" w:cs="仿宋_GB2312" w:eastAsia="仿宋_GB2312"/>
                <w:sz w:val="28"/>
              </w:rPr>
              <w:t>180户、道路绿化 2400 米、小沟水库沿岸绿化600米、森林抚育 1 处面积 80 亩。在炉河坝村完成庭院绿化50户、道路绿化 2000 米、沟渠、河流沿线绿化2000米、改造提升厚朴林1处面积 20 亩</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二、建设目标：</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）通过实施南郑区两河镇炉河坝村</w:t>
            </w:r>
            <w:r>
              <w:rPr>
                <w:rFonts w:ascii="仿宋_GB2312" w:hAnsi="仿宋_GB2312" w:cs="仿宋_GB2312" w:eastAsia="仿宋_GB2312"/>
                <w:sz w:val="28"/>
              </w:rPr>
              <w:t>“三化一片林”森林 乡村建设项目建设，农户庭院绿化率90%以上，户均种 植苗木花卉4～10株（丛）以上；建设村庄公共绿地漾 家河两岸2000米，绿化率达到35%以上；绿化道路1条 2000米，绿化率达60%以上；改造质量提升厚朴林1处20 亩。（</w:t>
            </w:r>
            <w:r>
              <w:rPr>
                <w:rFonts w:ascii="仿宋_GB2312" w:hAnsi="仿宋_GB2312" w:cs="仿宋_GB2312" w:eastAsia="仿宋_GB2312"/>
                <w:sz w:val="28"/>
              </w:rPr>
              <w:t>2</w:t>
            </w:r>
            <w:r>
              <w:rPr>
                <w:rFonts w:ascii="仿宋_GB2312" w:hAnsi="仿宋_GB2312" w:cs="仿宋_GB2312" w:eastAsia="仿宋_GB2312"/>
                <w:sz w:val="28"/>
              </w:rPr>
              <w:t>）通过实施南郑区高台镇立峰村</w:t>
            </w:r>
            <w:r>
              <w:rPr>
                <w:rFonts w:ascii="仿宋_GB2312" w:hAnsi="仿宋_GB2312" w:cs="仿宋_GB2312" w:eastAsia="仿宋_GB2312"/>
                <w:sz w:val="28"/>
              </w:rPr>
              <w:t>“三化一片林”森林乡 村建设项目建设，农户庭院绿化率90%以上，户均种植 苗木花卉4～10株（丛）以上；建设村庄公共绿地小沟 水库沿岸600米，绿化率达到35%以上；绿化道路3条 2400米，绿化率达60%以上；森林抚育改造质量提升1处 80亩。</w:t>
            </w:r>
          </w:p>
          <w:p>
            <w:pPr>
              <w:pStyle w:val="null3"/>
              <w:jc w:val="both"/>
            </w:pPr>
            <w:r>
              <w:rPr>
                <w:rFonts w:ascii="仿宋_GB2312" w:hAnsi="仿宋_GB2312" w:cs="仿宋_GB2312" w:eastAsia="仿宋_GB2312"/>
                <w:sz w:val="28"/>
              </w:rPr>
              <w:t>三、作业设计</w:t>
            </w:r>
          </w:p>
          <w:p>
            <w:pPr>
              <w:pStyle w:val="null3"/>
              <w:jc w:val="both"/>
            </w:pPr>
            <w:r>
              <w:rPr>
                <w:rFonts w:ascii="仿宋_GB2312" w:hAnsi="仿宋_GB2312" w:cs="仿宋_GB2312" w:eastAsia="仿宋_GB2312"/>
                <w:sz w:val="31"/>
                <w:b/>
                <w:color w:val="000000"/>
              </w:rPr>
              <w:t>3</w:t>
            </w:r>
            <w:r>
              <w:rPr>
                <w:rFonts w:ascii="仿宋_GB2312" w:hAnsi="仿宋_GB2312" w:cs="仿宋_GB2312" w:eastAsia="仿宋_GB2312"/>
                <w:sz w:val="31"/>
                <w:b/>
                <w:color w:val="000000"/>
              </w:rPr>
              <w:t>.2.2</w:t>
            </w:r>
            <w:r>
              <w:rPr>
                <w:rFonts w:ascii="仿宋_GB2312" w:hAnsi="仿宋_GB2312" w:cs="仿宋_GB2312" w:eastAsia="仿宋_GB2312"/>
                <w:sz w:val="31"/>
                <w:b/>
                <w:color w:val="000000"/>
              </w:rPr>
              <w:t>绿化树种选择</w:t>
            </w:r>
            <w:r>
              <w:rPr>
                <w:rFonts w:ascii="仿宋_GB2312" w:hAnsi="仿宋_GB2312" w:cs="仿宋_GB2312" w:eastAsia="仿宋_GB2312"/>
                <w:sz w:val="31"/>
                <w:color w:val="000000"/>
              </w:rPr>
              <w:t>主要选择红叶石楠（高杆）、紫薇、树状月季、藤本月季、垂柳、小杂果</w:t>
            </w:r>
            <w:r>
              <w:rPr>
                <w:rFonts w:ascii="仿宋_GB2312" w:hAnsi="仿宋_GB2312" w:cs="仿宋_GB2312" w:eastAsia="仿宋_GB2312"/>
                <w:sz w:val="31"/>
                <w:color w:val="000000"/>
              </w:rPr>
              <w:t>(桃、李、杏、石榴、枇杷)等树种。</w:t>
            </w:r>
          </w:p>
          <w:p>
            <w:pPr>
              <w:pStyle w:val="null3"/>
              <w:jc w:val="both"/>
            </w:pPr>
            <w:r>
              <w:rPr>
                <w:rFonts w:ascii="仿宋_GB2312" w:hAnsi="仿宋_GB2312" w:cs="仿宋_GB2312" w:eastAsia="仿宋_GB2312"/>
                <w:sz w:val="31"/>
                <w:b/>
                <w:color w:val="000000"/>
              </w:rPr>
              <w:t xml:space="preserve">3.3 种苗质量要求 </w:t>
            </w:r>
            <w:r>
              <w:rPr>
                <w:rFonts w:ascii="仿宋_GB2312" w:hAnsi="仿宋_GB2312" w:cs="仿宋_GB2312" w:eastAsia="仿宋_GB2312"/>
                <w:sz w:val="31"/>
                <w:color w:val="000000"/>
              </w:rPr>
              <w:t>项目建设所需的苗木必须采用林木种苗管理部门组织</w:t>
            </w:r>
            <w:r>
              <w:rPr>
                <w:rFonts w:ascii="仿宋_GB2312" w:hAnsi="仿宋_GB2312" w:cs="仿宋_GB2312" w:eastAsia="仿宋_GB2312"/>
                <w:sz w:val="31"/>
                <w:color w:val="000000"/>
              </w:rPr>
              <w:t>供应或经其检验的</w:t>
            </w:r>
            <w:r>
              <w:rPr>
                <w:rFonts w:ascii="仿宋_GB2312" w:hAnsi="仿宋_GB2312" w:cs="仿宋_GB2312" w:eastAsia="仿宋_GB2312"/>
                <w:sz w:val="31"/>
                <w:color w:val="000000"/>
              </w:rPr>
              <w:t>“三证齐全”（检疫证、合格证、标签）， 符合《陕西省主要造林树种苗木质量分级》</w:t>
            </w:r>
            <w:r>
              <w:rPr>
                <w:rFonts w:ascii="仿宋_GB2312" w:hAnsi="仿宋_GB2312" w:cs="仿宋_GB2312" w:eastAsia="仿宋_GB2312"/>
                <w:sz w:val="31"/>
                <w:color w:val="000000"/>
              </w:rPr>
              <w:t>DB61/T 378</w:t>
            </w:r>
            <w:r>
              <w:rPr>
                <w:rFonts w:ascii="仿宋_GB2312" w:hAnsi="仿宋_GB2312" w:cs="仿宋_GB2312" w:eastAsia="仿宋_GB2312"/>
                <w:sz w:val="31"/>
                <w:color w:val="000000"/>
              </w:rPr>
              <w:t xml:space="preserve">– </w:t>
            </w:r>
            <w:r>
              <w:rPr>
                <w:rFonts w:ascii="仿宋_GB2312" w:hAnsi="仿宋_GB2312" w:cs="仿宋_GB2312" w:eastAsia="仿宋_GB2312"/>
                <w:sz w:val="31"/>
                <w:color w:val="000000"/>
              </w:rPr>
              <w:t xml:space="preserve">2006 </w:t>
            </w:r>
            <w:r>
              <w:rPr>
                <w:rFonts w:ascii="仿宋_GB2312" w:hAnsi="仿宋_GB2312" w:cs="仿宋_GB2312" w:eastAsia="仿宋_GB2312"/>
                <w:sz w:val="31"/>
                <w:color w:val="000000"/>
              </w:rPr>
              <w:t>标准的</w:t>
            </w:r>
            <w:r>
              <w:rPr>
                <w:rFonts w:ascii="仿宋_GB2312" w:hAnsi="仿宋_GB2312" w:cs="仿宋_GB2312" w:eastAsia="仿宋_GB2312"/>
                <w:sz w:val="31"/>
                <w:color w:val="000000"/>
              </w:rPr>
              <w:t>Ⅰ、Ⅱ级苗木。具体苗木标准如下：</w:t>
            </w:r>
          </w:p>
          <w:p>
            <w:pPr>
              <w:pStyle w:val="null3"/>
              <w:jc w:val="center"/>
            </w:pPr>
            <w:r>
              <w:rPr>
                <w:rFonts w:ascii="仿宋_GB2312" w:hAnsi="仿宋_GB2312" w:cs="仿宋_GB2312" w:eastAsia="仿宋_GB2312"/>
                <w:sz w:val="28"/>
                <w:b/>
                <w:color w:val="000000"/>
              </w:rPr>
              <w:t>苗</w:t>
            </w:r>
            <w:r>
              <w:rPr>
                <w:rFonts w:ascii="仿宋_GB2312" w:hAnsi="仿宋_GB2312" w:cs="仿宋_GB2312" w:eastAsia="仿宋_GB2312"/>
                <w:sz w:val="28"/>
                <w:b/>
                <w:color w:val="000000"/>
              </w:rPr>
              <w:t>木</w:t>
            </w:r>
            <w:r>
              <w:rPr>
                <w:rFonts w:ascii="仿宋_GB2312" w:hAnsi="仿宋_GB2312" w:cs="仿宋_GB2312" w:eastAsia="仿宋_GB2312"/>
                <w:sz w:val="28"/>
                <w:b/>
                <w:color w:val="000000"/>
              </w:rPr>
              <w:t>标</w:t>
            </w:r>
            <w:r>
              <w:rPr>
                <w:rFonts w:ascii="仿宋_GB2312" w:hAnsi="仿宋_GB2312" w:cs="仿宋_GB2312" w:eastAsia="仿宋_GB2312"/>
                <w:sz w:val="28"/>
                <w:b/>
                <w:color w:val="000000"/>
              </w:rPr>
              <w:t>准</w:t>
            </w:r>
            <w:r>
              <w:rPr>
                <w:rFonts w:ascii="仿宋_GB2312" w:hAnsi="仿宋_GB2312" w:cs="仿宋_GB2312" w:eastAsia="仿宋_GB2312"/>
                <w:sz w:val="28"/>
                <w:b/>
                <w:color w:val="000000"/>
              </w:rPr>
              <w:t>表</w:t>
            </w:r>
          </w:p>
          <w:tbl>
            <w:tblPr>
              <w:tblBorders>
                <w:top w:val="none" w:color="000000" w:sz="4"/>
                <w:left w:val="none" w:color="000000" w:sz="4"/>
                <w:bottom w:val="none" w:color="000000" w:sz="4"/>
                <w:right w:val="none" w:color="000000" w:sz="4"/>
                <w:insideH w:val="none"/>
                <w:insideV w:val="none"/>
              </w:tblBorders>
            </w:tblPr>
            <w:tblGrid>
              <w:gridCol w:w="510"/>
              <w:gridCol w:w="510"/>
              <w:gridCol w:w="622"/>
              <w:gridCol w:w="460"/>
              <w:gridCol w:w="451"/>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1"/>
                      <w:color w:val="000000"/>
                    </w:rPr>
                    <w:t>树种</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1"/>
                      <w:color w:val="000000"/>
                    </w:rPr>
                    <w:t>苗木种类</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1"/>
                      <w:color w:val="000000"/>
                    </w:rPr>
                    <w:t>胸径</w:t>
                  </w:r>
                  <w:r>
                    <w:rPr>
                      <w:rFonts w:ascii="仿宋_GB2312" w:hAnsi="仿宋_GB2312" w:cs="仿宋_GB2312" w:eastAsia="仿宋_GB2312"/>
                      <w:sz w:val="31"/>
                      <w:color w:val="000000"/>
                    </w:rPr>
                    <w:t>/地径/ （厘米）</w:t>
                  </w:r>
                </w:p>
              </w:tc>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1"/>
                      <w:color w:val="000000"/>
                    </w:rPr>
                    <w:t>土球直径</w:t>
                  </w:r>
                  <w:r>
                    <w:rPr>
                      <w:rFonts w:ascii="仿宋_GB2312" w:hAnsi="仿宋_GB2312" w:cs="仿宋_GB2312" w:eastAsia="仿宋_GB2312"/>
                      <w:sz w:val="31"/>
                      <w:color w:val="000000"/>
                    </w:rPr>
                    <w:t>（厘米）</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10"/>
                    <w:jc w:val="center"/>
                  </w:pPr>
                  <w:r>
                    <w:rPr>
                      <w:rFonts w:ascii="仿宋_GB2312" w:hAnsi="仿宋_GB2312" w:cs="仿宋_GB2312" w:eastAsia="仿宋_GB2312"/>
                      <w:sz w:val="31"/>
                      <w:color w:val="000000"/>
                    </w:rPr>
                    <w:t>备注</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小杂果</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裸根苗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地径</w:t>
                  </w:r>
                  <w:r>
                    <w:rPr>
                      <w:rFonts w:ascii="仿宋_GB2312" w:hAnsi="仿宋_GB2312" w:cs="仿宋_GB2312" w:eastAsia="仿宋_GB2312"/>
                      <w:sz w:val="24"/>
                      <w:color w:val="000000"/>
                    </w:rPr>
                    <w:t>&gt;</w:t>
                  </w:r>
                  <w:r>
                    <w:rPr>
                      <w:rFonts w:ascii="仿宋_GB2312" w:hAnsi="仿宋_GB2312" w:cs="仿宋_GB2312" w:eastAsia="仿宋_GB2312"/>
                      <w:sz w:val="24"/>
                      <w:color w:val="000000"/>
                    </w:rPr>
                    <w:t>1</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良种嫁接</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红叶石楠</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土球苗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胸径</w:t>
                  </w:r>
                  <w:r>
                    <w:rPr>
                      <w:rFonts w:ascii="仿宋_GB2312" w:hAnsi="仿宋_GB2312" w:cs="仿宋_GB2312" w:eastAsia="仿宋_GB2312"/>
                      <w:sz w:val="24"/>
                      <w:color w:val="000000"/>
                    </w:rPr>
                    <w:t xml:space="preserve"> 4-5</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40</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杆高</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170 </w:t>
                  </w:r>
                  <w:r>
                    <w:rPr>
                      <w:rFonts w:ascii="仿宋_GB2312" w:hAnsi="仿宋_GB2312" w:cs="仿宋_GB2312" w:eastAsia="仿宋_GB2312"/>
                      <w:sz w:val="24"/>
                      <w:color w:val="000000"/>
                    </w:rPr>
                    <w:t>㎝</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w:t>
                  </w:r>
                  <w:r>
                    <w:rPr>
                      <w:rFonts w:ascii="仿宋_GB2312" w:hAnsi="仿宋_GB2312" w:cs="仿宋_GB2312" w:eastAsia="仿宋_GB2312"/>
                      <w:sz w:val="24"/>
                      <w:color w:val="000000"/>
                    </w:rPr>
                    <w:t>薇</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土球苗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胸径</w:t>
                  </w:r>
                  <w:r>
                    <w:rPr>
                      <w:rFonts w:ascii="仿宋_GB2312" w:hAnsi="仿宋_GB2312" w:cs="仿宋_GB2312" w:eastAsia="仿宋_GB2312"/>
                      <w:sz w:val="24"/>
                      <w:color w:val="000000"/>
                    </w:rPr>
                    <w:t>&gt;</w:t>
                  </w:r>
                  <w:r>
                    <w:rPr>
                      <w:rFonts w:ascii="仿宋_GB2312" w:hAnsi="仿宋_GB2312" w:cs="仿宋_GB2312" w:eastAsia="仿宋_GB2312"/>
                      <w:sz w:val="24"/>
                      <w:color w:val="000000"/>
                    </w:rPr>
                    <w:t>4</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40</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杆高</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170 </w:t>
                  </w:r>
                  <w:r>
                    <w:rPr>
                      <w:rFonts w:ascii="仿宋_GB2312" w:hAnsi="仿宋_GB2312" w:cs="仿宋_GB2312" w:eastAsia="仿宋_GB2312"/>
                      <w:sz w:val="24"/>
                      <w:color w:val="000000"/>
                    </w:rPr>
                    <w:t>㎝</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树状月季</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土球苗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地径</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40</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杆高</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80 </w:t>
                  </w:r>
                  <w:r>
                    <w:rPr>
                      <w:rFonts w:ascii="仿宋_GB2312" w:hAnsi="仿宋_GB2312" w:cs="仿宋_GB2312" w:eastAsia="仿宋_GB2312"/>
                      <w:sz w:val="24"/>
                      <w:color w:val="000000"/>
                    </w:rPr>
                    <w:t>㎝</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藤本月季</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裸根苗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地径</w:t>
                  </w:r>
                  <w:r>
                    <w:rPr>
                      <w:rFonts w:ascii="仿宋_GB2312" w:hAnsi="仿宋_GB2312" w:cs="仿宋_GB2312" w:eastAsia="仿宋_GB2312"/>
                      <w:sz w:val="24"/>
                      <w:color w:val="000000"/>
                    </w:rPr>
                    <w:t>≥</w:t>
                  </w:r>
                  <w:r>
                    <w:rPr>
                      <w:rFonts w:ascii="仿宋_GB2312" w:hAnsi="仿宋_GB2312" w:cs="仿宋_GB2312" w:eastAsia="仿宋_GB2312"/>
                      <w:sz w:val="24"/>
                      <w:color w:val="000000"/>
                    </w:rPr>
                    <w:t>0.8-1</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杆高</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120 </w:t>
                  </w:r>
                  <w:r>
                    <w:rPr>
                      <w:rFonts w:ascii="仿宋_GB2312" w:hAnsi="仿宋_GB2312" w:cs="仿宋_GB2312" w:eastAsia="仿宋_GB2312"/>
                      <w:sz w:val="24"/>
                      <w:color w:val="000000"/>
                    </w:rPr>
                    <w:t>㎝</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垂柳</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土球苗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胸径</w:t>
                  </w:r>
                  <w:r>
                    <w:rPr>
                      <w:rFonts w:ascii="仿宋_GB2312" w:hAnsi="仿宋_GB2312" w:cs="仿宋_GB2312" w:eastAsia="仿宋_GB2312"/>
                      <w:sz w:val="24"/>
                      <w:color w:val="000000"/>
                    </w:rPr>
                    <w:t>≥</w:t>
                  </w:r>
                  <w:r>
                    <w:rPr>
                      <w:rFonts w:ascii="仿宋_GB2312" w:hAnsi="仿宋_GB2312" w:cs="仿宋_GB2312" w:eastAsia="仿宋_GB2312"/>
                      <w:sz w:val="24"/>
                      <w:color w:val="000000"/>
                    </w:rPr>
                    <w:t>4-5</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杆高</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250 </w:t>
                  </w:r>
                  <w:r>
                    <w:rPr>
                      <w:rFonts w:ascii="仿宋_GB2312" w:hAnsi="仿宋_GB2312" w:cs="仿宋_GB2312" w:eastAsia="仿宋_GB2312"/>
                      <w:sz w:val="24"/>
                      <w:color w:val="000000"/>
                    </w:rPr>
                    <w:t>㎝</w:t>
                  </w:r>
                </w:p>
              </w:tc>
            </w:tr>
          </w:tbl>
          <w:p>
            <w:pPr>
              <w:pStyle w:val="null3"/>
              <w:jc w:val="both"/>
            </w:pPr>
            <w:r>
              <w:rPr>
                <w:rFonts w:ascii="仿宋_GB2312" w:hAnsi="仿宋_GB2312" w:cs="仿宋_GB2312" w:eastAsia="仿宋_GB2312"/>
                <w:sz w:val="31"/>
                <w:color w:val="000000"/>
              </w:rPr>
              <w:t>红叶石楠、紫薇、小杂果等，要求苗木充分木质化，要求根系完整，无机械损伤，无病虫害的苗木。</w:t>
            </w:r>
          </w:p>
          <w:p>
            <w:pPr>
              <w:pStyle w:val="null3"/>
              <w:jc w:val="both"/>
            </w:pPr>
            <w:r>
              <w:rPr>
                <w:rFonts w:ascii="仿宋_GB2312" w:hAnsi="仿宋_GB2312" w:cs="仿宋_GB2312" w:eastAsia="仿宋_GB2312"/>
                <w:sz w:val="31"/>
                <w:b/>
                <w:color w:val="000000"/>
              </w:rPr>
              <w:t>南郑区两河镇炉河坝村：</w:t>
            </w:r>
          </w:p>
          <w:p>
            <w:pPr>
              <w:pStyle w:val="null3"/>
              <w:jc w:val="both"/>
            </w:pPr>
            <w:r>
              <w:rPr>
                <w:rFonts w:ascii="仿宋_GB2312" w:hAnsi="仿宋_GB2312" w:cs="仿宋_GB2312" w:eastAsia="仿宋_GB2312"/>
                <w:sz w:val="31"/>
                <w:b/>
                <w:color w:val="000000"/>
              </w:rPr>
              <w:t>3</w:t>
            </w:r>
            <w:r>
              <w:rPr>
                <w:rFonts w:ascii="仿宋_GB2312" w:hAnsi="仿宋_GB2312" w:cs="仿宋_GB2312" w:eastAsia="仿宋_GB2312"/>
                <w:sz w:val="31"/>
                <w:b/>
                <w:color w:val="000000"/>
              </w:rPr>
              <w:t xml:space="preserve">.4 苗木需要量 </w:t>
            </w:r>
            <w:r>
              <w:rPr>
                <w:rFonts w:ascii="仿宋_GB2312" w:hAnsi="仿宋_GB2312" w:cs="仿宋_GB2312" w:eastAsia="仿宋_GB2312"/>
                <w:sz w:val="31"/>
                <w:color w:val="000000"/>
              </w:rPr>
              <w:t>项目建设共需苗木</w:t>
            </w:r>
            <w:r>
              <w:rPr>
                <w:rFonts w:ascii="仿宋_GB2312" w:hAnsi="仿宋_GB2312" w:cs="仿宋_GB2312" w:eastAsia="仿宋_GB2312"/>
                <w:sz w:val="31"/>
                <w:color w:val="000000"/>
              </w:rPr>
              <w:t>2031 株。其中，小杂果(桃、李、杏、 石榴、枇杷)499 株，红叶石楠（高杆)333 株，紫薇 333 株， 垂柳 666 株，树状月季 100 株、藤本月季 100 株。</w:t>
            </w:r>
          </w:p>
          <w:p>
            <w:pPr>
              <w:pStyle w:val="null3"/>
              <w:jc w:val="both"/>
            </w:pPr>
            <w:r>
              <w:rPr>
                <w:rFonts w:ascii="仿宋_GB2312" w:hAnsi="仿宋_GB2312" w:cs="仿宋_GB2312" w:eastAsia="仿宋_GB2312"/>
                <w:sz w:val="31"/>
                <w:b/>
                <w:color w:val="000000"/>
              </w:rPr>
              <w:t>南郑区高台镇立峰村：</w:t>
            </w:r>
          </w:p>
          <w:p>
            <w:pPr>
              <w:pStyle w:val="null3"/>
              <w:jc w:val="both"/>
            </w:pPr>
            <w:r>
              <w:rPr>
                <w:rFonts w:ascii="仿宋_GB2312" w:hAnsi="仿宋_GB2312" w:cs="仿宋_GB2312" w:eastAsia="仿宋_GB2312"/>
                <w:sz w:val="31"/>
                <w:b/>
                <w:color w:val="000000"/>
              </w:rPr>
              <w:t>3</w:t>
            </w:r>
            <w:r>
              <w:rPr>
                <w:rFonts w:ascii="仿宋_GB2312" w:hAnsi="仿宋_GB2312" w:cs="仿宋_GB2312" w:eastAsia="仿宋_GB2312"/>
                <w:sz w:val="31"/>
                <w:b/>
                <w:color w:val="000000"/>
              </w:rPr>
              <w:t>.4 苗木需要量</w:t>
            </w:r>
            <w:r>
              <w:rPr>
                <w:rFonts w:ascii="仿宋_GB2312" w:hAnsi="仿宋_GB2312" w:cs="仿宋_GB2312" w:eastAsia="仿宋_GB2312"/>
                <w:sz w:val="21"/>
                <w:b/>
              </w:rPr>
              <w:t xml:space="preserve"> </w:t>
            </w:r>
            <w:r>
              <w:rPr>
                <w:rFonts w:ascii="仿宋_GB2312" w:hAnsi="仿宋_GB2312" w:cs="仿宋_GB2312" w:eastAsia="仿宋_GB2312"/>
                <w:sz w:val="31"/>
                <w:color w:val="000000"/>
              </w:rPr>
              <w:t>项目建设共需苗木</w:t>
            </w:r>
            <w:r>
              <w:rPr>
                <w:rFonts w:ascii="仿宋_GB2312" w:hAnsi="仿宋_GB2312" w:cs="仿宋_GB2312" w:eastAsia="仿宋_GB2312"/>
                <w:sz w:val="31"/>
                <w:color w:val="000000"/>
              </w:rPr>
              <w:t xml:space="preserve"> 3021 株。其中，小杂果(桃、李、杏、 石榴、枇杷)1800 株，红叶石楠（高杆)400 株，紫薇 400 株， 垂柳 200 株，树状月季 41 株、藤本月季 180 株。</w:t>
            </w:r>
          </w:p>
          <w:p>
            <w:pPr>
              <w:pStyle w:val="null3"/>
              <w:jc w:val="both"/>
            </w:pPr>
            <w:r>
              <w:rPr>
                <w:rFonts w:ascii="仿宋_GB2312" w:hAnsi="仿宋_GB2312" w:cs="仿宋_GB2312" w:eastAsia="仿宋_GB2312"/>
                <w:sz w:val="31"/>
                <w:b/>
                <w:color w:val="000000"/>
              </w:rPr>
              <w:t xml:space="preserve">3.5 苗木来源 </w:t>
            </w:r>
            <w:r>
              <w:rPr>
                <w:rFonts w:ascii="仿宋_GB2312" w:hAnsi="仿宋_GB2312" w:cs="仿宋_GB2312" w:eastAsia="仿宋_GB2312"/>
                <w:sz w:val="31"/>
                <w:color w:val="000000"/>
              </w:rPr>
              <w:t>栽植所需苗木以南郑区内自产苗木为主，苗木调拨时必</w:t>
            </w:r>
            <w:r>
              <w:rPr>
                <w:rFonts w:ascii="仿宋_GB2312" w:hAnsi="仿宋_GB2312" w:cs="仿宋_GB2312" w:eastAsia="仿宋_GB2312"/>
                <w:sz w:val="31"/>
                <w:color w:val="000000"/>
              </w:rPr>
              <w:t>须严格执行《全国主要造林树种苗木质量分级标准》及种苗</w:t>
            </w:r>
            <w:r>
              <w:rPr>
                <w:rFonts w:ascii="仿宋_GB2312" w:hAnsi="仿宋_GB2312" w:cs="仿宋_GB2312" w:eastAsia="仿宋_GB2312"/>
                <w:sz w:val="31"/>
                <w:color w:val="000000"/>
              </w:rPr>
              <w:t>调拨区的规定。</w:t>
            </w:r>
          </w:p>
          <w:p>
            <w:pPr>
              <w:pStyle w:val="null3"/>
              <w:jc w:val="both"/>
            </w:pPr>
            <w:r>
              <w:rPr>
                <w:rFonts w:ascii="仿宋_GB2312" w:hAnsi="仿宋_GB2312" w:cs="仿宋_GB2312" w:eastAsia="仿宋_GB2312"/>
                <w:sz w:val="31"/>
                <w:b/>
                <w:color w:val="000000"/>
              </w:rPr>
              <w:t xml:space="preserve">3.6 绿化造林栽植技术措施 </w:t>
            </w:r>
            <w:r>
              <w:rPr>
                <w:rFonts w:ascii="仿宋_GB2312" w:hAnsi="仿宋_GB2312" w:cs="仿宋_GB2312" w:eastAsia="仿宋_GB2312"/>
                <w:sz w:val="31"/>
                <w:color w:val="000000"/>
              </w:rPr>
              <w:t>主要栽植技术措施包括：种苗的选择与处理，整地及造林方式、密度、时间的确定。</w:t>
            </w:r>
          </w:p>
          <w:p>
            <w:pPr>
              <w:pStyle w:val="null3"/>
              <w:jc w:val="both"/>
            </w:pPr>
            <w:r>
              <w:rPr>
                <w:rFonts w:ascii="仿宋_GB2312" w:hAnsi="仿宋_GB2312" w:cs="仿宋_GB2312" w:eastAsia="仿宋_GB2312"/>
                <w:sz w:val="31"/>
                <w:color w:val="000000"/>
              </w:rPr>
              <w:t>（</w:t>
            </w:r>
            <w:r>
              <w:rPr>
                <w:rFonts w:ascii="仿宋_GB2312" w:hAnsi="仿宋_GB2312" w:cs="仿宋_GB2312" w:eastAsia="仿宋_GB2312"/>
                <w:sz w:val="31"/>
                <w:color w:val="000000"/>
              </w:rPr>
              <w:t>1） 种苗的选择与处理 苗木选择本绿化工程用苗木全部采用二级以上优质壮 苗。为提高成活率，尽量使用本地产苗木。 苗木处理 为提高栽植成活率，可以在栽植前用 ABT 生 根粉对苗木进行浸根处理。</w:t>
            </w:r>
          </w:p>
          <w:p>
            <w:pPr>
              <w:pStyle w:val="null3"/>
              <w:jc w:val="both"/>
            </w:pPr>
            <w:r>
              <w:rPr>
                <w:rFonts w:ascii="仿宋_GB2312" w:hAnsi="仿宋_GB2312" w:cs="仿宋_GB2312" w:eastAsia="仿宋_GB2312"/>
                <w:sz w:val="31"/>
                <w:color w:val="000000"/>
              </w:rPr>
              <w:t>（</w:t>
            </w:r>
            <w:r>
              <w:rPr>
                <w:rFonts w:ascii="仿宋_GB2312" w:hAnsi="仿宋_GB2312" w:cs="仿宋_GB2312" w:eastAsia="仿宋_GB2312"/>
                <w:sz w:val="31"/>
                <w:color w:val="000000"/>
              </w:rPr>
              <w:t>2） 整地 整地前先清除造林地上的杂灌、杂草，采取挖大穴，整地规格 60*60*60 厘米。</w:t>
            </w:r>
          </w:p>
          <w:p>
            <w:pPr>
              <w:pStyle w:val="null3"/>
              <w:jc w:val="both"/>
            </w:pPr>
            <w:r>
              <w:rPr>
                <w:rFonts w:ascii="仿宋_GB2312" w:hAnsi="仿宋_GB2312" w:cs="仿宋_GB2312" w:eastAsia="仿宋_GB2312"/>
                <w:sz w:val="31"/>
                <w:color w:val="000000"/>
              </w:rPr>
              <w:t>（</w:t>
            </w:r>
            <w:r>
              <w:rPr>
                <w:rFonts w:ascii="仿宋_GB2312" w:hAnsi="仿宋_GB2312" w:cs="仿宋_GB2312" w:eastAsia="仿宋_GB2312"/>
                <w:sz w:val="31"/>
                <w:color w:val="000000"/>
              </w:rPr>
              <w:t>3）造林方式和密度</w:t>
            </w:r>
          </w:p>
          <w:p>
            <w:pPr>
              <w:pStyle w:val="null3"/>
              <w:jc w:val="both"/>
            </w:pPr>
            <w:r>
              <w:rPr>
                <w:rFonts w:ascii="仿宋_GB2312" w:hAnsi="仿宋_GB2312" w:cs="仿宋_GB2312" w:eastAsia="仿宋_GB2312"/>
                <w:sz w:val="31"/>
                <w:color w:val="000000"/>
              </w:rPr>
              <w:t>造林采用植苗造林方式。起苗时要多保留侧根，主根适</w:t>
            </w:r>
            <w:r>
              <w:rPr>
                <w:rFonts w:ascii="仿宋_GB2312" w:hAnsi="仿宋_GB2312" w:cs="仿宋_GB2312" w:eastAsia="仿宋_GB2312"/>
                <w:sz w:val="31"/>
                <w:color w:val="000000"/>
              </w:rPr>
              <w:t>当修剪留长</w:t>
            </w:r>
            <w:r>
              <w:rPr>
                <w:rFonts w:ascii="仿宋_GB2312" w:hAnsi="仿宋_GB2312" w:cs="仿宋_GB2312" w:eastAsia="仿宋_GB2312"/>
                <w:sz w:val="31"/>
                <w:color w:val="000000"/>
              </w:rPr>
              <w:t>25厘米以内。造林密度的确定要依据树种、地形、地势、土壤条件以 及管理水平。</w:t>
            </w:r>
          </w:p>
          <w:p>
            <w:pPr>
              <w:pStyle w:val="null3"/>
              <w:jc w:val="both"/>
            </w:pPr>
            <w:r>
              <w:rPr>
                <w:rFonts w:ascii="仿宋_GB2312" w:hAnsi="仿宋_GB2312" w:cs="仿宋_GB2312" w:eastAsia="仿宋_GB2312"/>
                <w:sz w:val="31"/>
                <w:color w:val="000000"/>
              </w:rPr>
              <w:t>（</w:t>
            </w:r>
            <w:r>
              <w:rPr>
                <w:rFonts w:ascii="仿宋_GB2312" w:hAnsi="仿宋_GB2312" w:cs="仿宋_GB2312" w:eastAsia="仿宋_GB2312"/>
                <w:sz w:val="31"/>
                <w:color w:val="000000"/>
              </w:rPr>
              <w:t>4）苗木栽植时间</w:t>
            </w:r>
          </w:p>
          <w:p>
            <w:pPr>
              <w:pStyle w:val="null3"/>
              <w:jc w:val="both"/>
            </w:pPr>
            <w:r>
              <w:rPr>
                <w:rFonts w:ascii="仿宋_GB2312" w:hAnsi="仿宋_GB2312" w:cs="仿宋_GB2312" w:eastAsia="仿宋_GB2312"/>
                <w:sz w:val="31"/>
                <w:color w:val="000000"/>
              </w:rPr>
              <w:t>造林时间春季或秋季均可进行</w:t>
            </w:r>
            <w:r>
              <w:rPr>
                <w:rFonts w:ascii="仿宋_GB2312" w:hAnsi="仿宋_GB2312" w:cs="仿宋_GB2312" w:eastAsia="仿宋_GB2312"/>
                <w:sz w:val="31"/>
                <w:color w:val="000000"/>
              </w:rPr>
              <w:t>。</w:t>
            </w:r>
          </w:p>
          <w:p>
            <w:pPr>
              <w:pStyle w:val="null3"/>
              <w:jc w:val="both"/>
            </w:pPr>
            <w:r>
              <w:rPr>
                <w:rFonts w:ascii="仿宋_GB2312" w:hAnsi="仿宋_GB2312" w:cs="仿宋_GB2312" w:eastAsia="仿宋_GB2312"/>
                <w:sz w:val="31"/>
                <w:color w:val="000000"/>
              </w:rPr>
              <w:t>（</w:t>
            </w:r>
            <w:r>
              <w:rPr>
                <w:rFonts w:ascii="仿宋_GB2312" w:hAnsi="仿宋_GB2312" w:cs="仿宋_GB2312" w:eastAsia="仿宋_GB2312"/>
                <w:sz w:val="31"/>
                <w:color w:val="000000"/>
              </w:rPr>
              <w:t>5）栽植主要技术措施</w:t>
            </w:r>
          </w:p>
          <w:p>
            <w:pPr>
              <w:pStyle w:val="null3"/>
              <w:jc w:val="both"/>
            </w:pPr>
            <w:r>
              <w:rPr>
                <w:rFonts w:ascii="仿宋_GB2312" w:hAnsi="仿宋_GB2312" w:cs="仿宋_GB2312" w:eastAsia="仿宋_GB2312"/>
                <w:sz w:val="31"/>
                <w:color w:val="000000"/>
              </w:rPr>
              <w:t>栽植前，坑内填入熟土；植苗后，栽植穴内土要踩实，</w:t>
            </w:r>
            <w:r>
              <w:rPr>
                <w:rFonts w:ascii="仿宋_GB2312" w:hAnsi="仿宋_GB2312" w:cs="仿宋_GB2312" w:eastAsia="仿宋_GB2312"/>
                <w:sz w:val="31"/>
                <w:color w:val="000000"/>
              </w:rPr>
              <w:t>栽植深度要适宜</w:t>
            </w:r>
            <w:r>
              <w:rPr>
                <w:rFonts w:ascii="仿宋_GB2312" w:hAnsi="仿宋_GB2312" w:cs="仿宋_GB2312" w:eastAsia="仿宋_GB2312"/>
                <w:sz w:val="31"/>
                <w:color w:val="000000"/>
              </w:rPr>
              <w:t>。</w:t>
            </w:r>
          </w:p>
          <w:p>
            <w:pPr>
              <w:pStyle w:val="null3"/>
              <w:jc w:val="both"/>
            </w:pPr>
            <w:r>
              <w:rPr>
                <w:rFonts w:ascii="仿宋_GB2312" w:hAnsi="仿宋_GB2312" w:cs="仿宋_GB2312" w:eastAsia="仿宋_GB2312"/>
                <w:sz w:val="31"/>
                <w:color w:val="000000"/>
              </w:rPr>
              <w:t>（</w:t>
            </w:r>
            <w:r>
              <w:rPr>
                <w:rFonts w:ascii="仿宋_GB2312" w:hAnsi="仿宋_GB2312" w:cs="仿宋_GB2312" w:eastAsia="仿宋_GB2312"/>
                <w:sz w:val="31"/>
                <w:color w:val="000000"/>
              </w:rPr>
              <w:t>6）抚育管理主要技术措施 绿化造林后的抚育，主要包括除草、松土、修枝及病虫 害防治等。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为保证项目的顺利实施，响应供应商应满足国家相关法律法规要求，配备具有林业或园林专业相关专业的技术人员。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截止到2026年5月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符合国家相关规范、标准及要求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预付款，签订合同后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进度款，完成项目进度的50%,经采购人现场验收合格后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进度款，完成项目进度的100%，经采购人现场验收合格后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结算款，竣工验收合格后，且承包人提交完整结算资料后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甲乙双方在合同履行中发生争议、应通过协商解决。如协商不成，可以向甲方所在地有管辖权的人民法院提起诉讼。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供应商合法登记证明</w:t>
            </w:r>
          </w:p>
        </w:tc>
        <w:tc>
          <w:tcPr>
            <w:tcW w:type="dxa" w:w="3322"/>
          </w:tcPr>
          <w:p>
            <w:pPr>
              <w:pStyle w:val="null3"/>
            </w:pPr>
            <w:r>
              <w:rPr>
                <w:rFonts w:ascii="仿宋_GB2312" w:hAnsi="仿宋_GB2312" w:cs="仿宋_GB2312" w:eastAsia="仿宋_GB2312"/>
              </w:rPr>
              <w:t>供应商应为合法注册并具有独立承担民事责任能力的的企业法人、事业法人、其他组织或自然人。企业法人应提供合法有效的标识有统一社会信用代码的营业执照；事业法人应提供事业单位法人证书；其他组织应提供合法登记证明文件；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商务应答表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w:t>
            </w:r>
          </w:p>
        </w:tc>
        <w:tc>
          <w:tcPr>
            <w:tcW w:type="dxa" w:w="3322"/>
          </w:tcPr>
          <w:p>
            <w:pPr>
              <w:pStyle w:val="null3"/>
            </w:pPr>
            <w:r>
              <w:rPr>
                <w:rFonts w:ascii="仿宋_GB2312" w:hAnsi="仿宋_GB2312" w:cs="仿宋_GB2312" w:eastAsia="仿宋_GB2312"/>
              </w:rPr>
              <w:t>供应商需提供法定代表人身份证明，供应商需在项目电子化交易系统中按要求上传相应证明文件并进行电子签章；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商务应答表 法人身份证明.docx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本项目不接受联合体投标，投标供应商须提供《非联合体投标书面声明》视为独立响应，不分包。</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工程措施方案（10分）：提供详细的施工工艺流程说明，包含土地平整、放线定点、开挖种植穴等关键环节的具体方法，每提供一项完整描述得2分，最高10分。2、苗木运输方案（8分）：明确运输方式、车辆类型、运输时间安排、苗木保护措施（如遮阳、保湿、防机械损伤等），每提供一项得2分，最高8分。3、栽植方案（8分）：提供详细的栽植技术规程，包括栽植时间、深度、方法、支撑加固、浇水养护等具体操作要求，每提供一项得2分，最高8分。 4、进度安排计划（5分）：提供包含从准备到竣工验收全过程的横道图或网络计划图，明确关键节点和时间安排，得5分；有计划但不完整，得3分；未提供0分。5、自查验收方案（5分）：提供分阶段自查、隐蔽工程验收、竣工验收的具体流程和标准，得5分；方案不清晰得3分，未提供得0分。6、保障措施方案（2分）：针对上述各项方案提供配套的保障措施说明，得2分；未提供得0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1、重难点识别（3分）：准确识别全部重难点，得3分；识别大部分重难点，得1-2分；识别不足，得0分。2、应对措施（4分）：措施具体、可行、针对性强，得4分；措施较可行，得2-3分；措施不可行得0-1分。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1、质量保证措施（4分）：措施完善、具体，得4分；措施较完善，得2-3分；措施不完善，得0-1分。2、质量检查方案（4分）：方案详细、可操作，得4分；方案较详细，得2-3分；方案不详细，不可操作，得0-1分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内部管理制度（3分）：制度完善，得3分；制度较完善，得1-2分；制度不完善，得0分。2、管理执行能力（3分）：有明确的执行流程和责任人，得3分；有执行流程但责任人不明确，得1-2分；无执行流程，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供应商提供2022年1月1日至今的同类项目业绩，每提供1个业绩得3分，最多得6分。（需提供合同或中标通知书复印件）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项目组织管理及人员安排</w:t>
            </w:r>
          </w:p>
        </w:tc>
        <w:tc>
          <w:tcPr>
            <w:tcW w:type="dxa" w:w="2492"/>
          </w:tcPr>
          <w:p>
            <w:pPr>
              <w:pStyle w:val="null3"/>
            </w:pPr>
            <w:r>
              <w:rPr>
                <w:rFonts w:ascii="仿宋_GB2312" w:hAnsi="仿宋_GB2312" w:cs="仿宋_GB2312" w:eastAsia="仿宋_GB2312"/>
              </w:rPr>
              <w:t>1、组织架构健全性（3分）：架构完整、岗位职责明确得3分；架构基本完整得2分；架构不健全得0分。 2、团队人员配置（6分）：配备技术人员具备林业或园林类相关专业中级及以上技术职称证书。评审依据：需提供证书扫描件，提供一个中级职称得2分；提供一个高级职称得3分，满分6分，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突发情况的应急处理方案</w:t>
            </w:r>
          </w:p>
        </w:tc>
        <w:tc>
          <w:tcPr>
            <w:tcW w:type="dxa" w:w="2492"/>
          </w:tcPr>
          <w:p>
            <w:pPr>
              <w:pStyle w:val="null3"/>
            </w:pPr>
            <w:r>
              <w:rPr>
                <w:rFonts w:ascii="仿宋_GB2312" w:hAnsi="仿宋_GB2312" w:cs="仿宋_GB2312" w:eastAsia="仿宋_GB2312"/>
              </w:rPr>
              <w:t>1、灾害类型覆盖（2分）：方案至少涵盖突发性林业有害生物灾害、人为破坏、林草火灾、自热灾害等四种情形，每覆盖一种得0.5分，最高2分。2、应急响应流程（2分）：提供明确的应急响应流程，包括发下报告、应急启动、现场处置、事后恢复等环节，得2分；流程不完整得0-1分。3、资源保障措施（2分）：明确应急物资储备清单、应急人员联系方式及外部支援渠道，得2分；信息不完整得0-1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措施（3分）：提供详细的售后服务措施，包括但不限于定期巡查、养护指导、补植更换、技术支持等，每提供一项得0.5分，最高3分。2、服务承诺具体性（2分）：对质保期、养护范围、补植标准做出具体、量化的承诺，每提供一项有效承诺得0.5分，最高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1.经初审合格的响应文件，其投标报价为有效投标价。对符合政策性扣减的有效投标报价进行政策性扣减，并依据扣减后的价格（评审价格）进行价格评审。 2.有效最低报价为基准价得15分。 3.按（评标基准价/有效投标报价）×15的公式计算其得分。 4.投标报价不完整的，不进入评标标准价的计算，本项得0分。 5.经磋商小组一致认定，供应商的投标总报价低于公认市场成本，或超过采购预算,其投标将被拒绝。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详见附件：法人身份证明.docx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详见附件：详细评审.docx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