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版本号：南采NC【2026】1号20260303001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南郑区人力资源和社会保障局办公大楼物业服务采购项目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南采NC【2026】1号</w:t>
      </w:r>
      <w:r>
        <w:br/>
      </w:r>
      <w:r>
        <w:br/>
      </w:r>
      <w:r>
        <w:br/>
      </w:r>
    </w:p>
    <w:p>
      <w:pPr>
        <w:pStyle w:val="null3"/>
        <w:jc w:val="center"/>
        <w:outlineLvl w:val="2"/>
      </w:pPr>
      <w:r>
        <w:rPr>
          <w:rFonts w:ascii="仿宋_GB2312" w:hAnsi="仿宋_GB2312" w:cs="仿宋_GB2312" w:eastAsia="仿宋_GB2312"/>
          <w:sz w:val="28"/>
          <w:b/>
        </w:rPr>
        <w:t>汉中市南郑区人力资源和社会保障局</w:t>
      </w:r>
    </w:p>
    <w:p>
      <w:pPr>
        <w:pStyle w:val="null3"/>
        <w:jc w:val="center"/>
        <w:outlineLvl w:val="2"/>
      </w:pPr>
      <w:r>
        <w:rPr>
          <w:rFonts w:ascii="仿宋_GB2312" w:hAnsi="仿宋_GB2312" w:cs="仿宋_GB2312" w:eastAsia="仿宋_GB2312"/>
          <w:sz w:val="28"/>
          <w:b/>
        </w:rPr>
        <w:t>南郑区政府采购中心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南郑区政府采购中心</w:t>
      </w:r>
      <w:r>
        <w:rPr>
          <w:rFonts w:ascii="仿宋_GB2312" w:hAnsi="仿宋_GB2312" w:cs="仿宋_GB2312" w:eastAsia="仿宋_GB2312"/>
        </w:rPr>
        <w:t>（以下简称“代理机构”）受</w:t>
      </w:r>
      <w:r>
        <w:rPr>
          <w:rFonts w:ascii="仿宋_GB2312" w:hAnsi="仿宋_GB2312" w:cs="仿宋_GB2312" w:eastAsia="仿宋_GB2312"/>
        </w:rPr>
        <w:t>汉中市南郑区人力资源和社会保障局</w:t>
      </w:r>
      <w:r>
        <w:rPr>
          <w:rFonts w:ascii="仿宋_GB2312" w:hAnsi="仿宋_GB2312" w:cs="仿宋_GB2312" w:eastAsia="仿宋_GB2312"/>
        </w:rPr>
        <w:t>委托，拟对</w:t>
      </w:r>
      <w:r>
        <w:rPr>
          <w:rFonts w:ascii="仿宋_GB2312" w:hAnsi="仿宋_GB2312" w:cs="仿宋_GB2312" w:eastAsia="仿宋_GB2312"/>
        </w:rPr>
        <w:t>南郑区人力资源和社会保障局办公大楼物业服务采购项目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南采NC【2026】1号</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南郑区人力资源和社会保障局办公大楼物业服务采购项目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拟对南郑区人力资源和社会保障局办公大楼物业服务采购；保安3人、保洁2人、中央空调维护及水电工2人；确保服务质量达到符合国家、行业、地方规定以及竞争性磋商文件规定的质量和安全标准要求；具体内容详见本项目竞争性磋商文件服务内容及要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采购包1（南郑区人力资源和社会保障局办公大楼物业服务采购项目）：属于专门面向小微企业采购。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1、主体资格：供应商为具有独立承担民事责任能力的法人或其他组织或自然人，并出具合法有效的营业执照或事业法人证书等国家规定的相关证明，自然人参与的提供其身份证明 。</w:t>
      </w:r>
    </w:p>
    <w:p>
      <w:pPr>
        <w:pStyle w:val="null3"/>
      </w:pPr>
      <w:r>
        <w:rPr>
          <w:rFonts w:ascii="仿宋_GB2312" w:hAnsi="仿宋_GB2312" w:cs="仿宋_GB2312" w:eastAsia="仿宋_GB2312"/>
        </w:rPr>
        <w:t>2、法定代表人证明书及授权书：法定代表人证明书及授权书法定代表人（负责人）委托授权书法定代表人（负责人）委托代理人参加磋商活动时，应提供法定代表人（负责人）委托授权书；法定代表人（负责人）亲自参加磋商活动时，应提供法定代表人（负责人）身份证复印件。如法人的分支机构参与磋商活动的，除提供《法定代表人授权委托书》外，还须同时提供法人给分支机构出具的授权书，并加盖公章。法人只能授权一家分支机构参与磋商活动，且不能与分支机构同时参与磋商活动。</w:t>
      </w:r>
    </w:p>
    <w:p>
      <w:pPr>
        <w:pStyle w:val="null3"/>
      </w:pPr>
      <w:r>
        <w:rPr>
          <w:rFonts w:ascii="仿宋_GB2312" w:hAnsi="仿宋_GB2312" w:cs="仿宋_GB2312" w:eastAsia="仿宋_GB2312"/>
        </w:rPr>
        <w:t>3、信誉要求：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p>
      <w:pPr>
        <w:pStyle w:val="null3"/>
      </w:pPr>
      <w:r>
        <w:rPr>
          <w:rFonts w:ascii="仿宋_GB2312" w:hAnsi="仿宋_GB2312" w:cs="仿宋_GB2312" w:eastAsia="仿宋_GB2312"/>
        </w:rPr>
        <w:t>4、是否面向中、小企业：本项目为专门面向小微企业项目，响应人应为小型企业、微型企业或监狱企业或残疾人福利性单位。提供《中小企业声明函》；响应人为监狱企业的，应提供监狱企业的证明文件；响应人为残疾人福利性单位的，应提供《残疾人福利性单位声明函》（监狱企业或残疾人福利性单位视同小型、微型企业）。</w:t>
      </w:r>
    </w:p>
    <w:p>
      <w:pPr>
        <w:pStyle w:val="null3"/>
      </w:pPr>
      <w:r>
        <w:rPr>
          <w:rFonts w:ascii="仿宋_GB2312" w:hAnsi="仿宋_GB2312" w:cs="仿宋_GB2312" w:eastAsia="仿宋_GB2312"/>
        </w:rPr>
        <w:t>5、其他要求：本项目不接受联合体投标，供应商需提供非联合体书面声明。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汉中市南郑区人力资源和社会保障局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陕西省汉中市南郑区北一路中段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汉中市南郑区人力资源和社会保障局经办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15909165055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南郑区政府采购中心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汉中市南郑区县城南大街区绩效评价中心五楼区政府采购中心</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南郑区政府采购中心业务股经办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0916-2995595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采购包1：846,000.00元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汉中市南郑区人力资源和社会保障局</w:t>
      </w:r>
      <w:r>
        <w:rPr>
          <w:rFonts w:ascii="仿宋_GB2312" w:hAnsi="仿宋_GB2312" w:cs="仿宋_GB2312" w:eastAsia="仿宋_GB2312"/>
        </w:rPr>
        <w:t>和</w:t>
      </w:r>
      <w:r>
        <w:rPr>
          <w:rFonts w:ascii="仿宋_GB2312" w:hAnsi="仿宋_GB2312" w:cs="仿宋_GB2312" w:eastAsia="仿宋_GB2312"/>
        </w:rPr>
        <w:t>南郑区政府采购中心</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汉中市南郑区人力资源和社会保障局</w:t>
      </w:r>
      <w:r>
        <w:rPr>
          <w:rFonts w:ascii="仿宋_GB2312" w:hAnsi="仿宋_GB2312" w:cs="仿宋_GB2312" w:eastAsia="仿宋_GB2312"/>
        </w:rPr>
        <w:t>负责解释。除上述磋商文件内容，其他内容由</w:t>
      </w:r>
      <w:r>
        <w:rPr>
          <w:rFonts w:ascii="仿宋_GB2312" w:hAnsi="仿宋_GB2312" w:cs="仿宋_GB2312" w:eastAsia="仿宋_GB2312"/>
        </w:rPr>
        <w:t>南郑区政府采购中心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汉中市南郑区人力资源和社会保障局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南郑区政府采购中心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遵照国家有关规定和最终合同约定执行。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汉中市南郑区人力资源和社会保障局</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南郑区政府采购中心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南郑区政府采购中心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联系人：李青茂</w:t>
      </w:r>
    </w:p>
    <w:p>
      <w:pPr>
        <w:pStyle w:val="null3"/>
      </w:pPr>
      <w:r>
        <w:rPr>
          <w:rFonts w:ascii="仿宋_GB2312" w:hAnsi="仿宋_GB2312" w:cs="仿宋_GB2312" w:eastAsia="仿宋_GB2312"/>
        </w:rPr>
        <w:t>联系电话：0916-2995594</w:t>
      </w:r>
    </w:p>
    <w:p>
      <w:pPr>
        <w:pStyle w:val="null3"/>
      </w:pPr>
      <w:r>
        <w:rPr>
          <w:rFonts w:ascii="仿宋_GB2312" w:hAnsi="仿宋_GB2312" w:cs="仿宋_GB2312" w:eastAsia="仿宋_GB2312"/>
        </w:rPr>
        <w:t>地址：汉中市南郑区县城南大街区绩效评价中心五楼区政府采购中心</w:t>
      </w:r>
    </w:p>
    <w:p>
      <w:pPr>
        <w:pStyle w:val="null3"/>
      </w:pPr>
      <w:r>
        <w:rPr>
          <w:rFonts w:ascii="仿宋_GB2312" w:hAnsi="仿宋_GB2312" w:cs="仿宋_GB2312" w:eastAsia="仿宋_GB2312"/>
        </w:rPr>
        <w:t>邮编：723100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拟对南郑区人力资源和社会保障局办公大楼物业服务采购；保安3人、保洁2人、中央空调维护及水电工2人；确保服务质量达到符合国家、行业、地方规定以及竞争性磋商文件规定的质量和安全标准要求；具体内容详见本项目竞争性磋商文件服务内容及要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846,000.00</w:t>
      </w:r>
    </w:p>
    <w:p>
      <w:pPr>
        <w:pStyle w:val="null3"/>
      </w:pPr>
      <w:r>
        <w:rPr>
          <w:rFonts w:ascii="仿宋_GB2312" w:hAnsi="仿宋_GB2312" w:cs="仿宋_GB2312" w:eastAsia="仿宋_GB2312"/>
        </w:rPr>
        <w:t>采购包最高限价（元）: 846,000.00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办公大楼物业服务采购</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right"/>
            </w:pPr>
            <w:r>
              <w:rPr>
                <w:rFonts w:ascii="仿宋_GB2312" w:hAnsi="仿宋_GB2312" w:cs="仿宋_GB2312" w:eastAsia="仿宋_GB2312"/>
              </w:rPr>
              <w:t>846,000.00</w:t>
            </w:r>
          </w:p>
        </w:tc>
        <w:tc>
          <w:tcPr>
            <w:tcW w:type="dxa" w:w="831"/>
          </w:tcPr>
          <w:p>
            <w:pPr>
              <w:pStyle w:val="null3"/>
            </w:pPr>
            <w:r>
              <w:rPr>
                <w:rFonts w:ascii="仿宋_GB2312" w:hAnsi="仿宋_GB2312" w:cs="仿宋_GB2312" w:eastAsia="仿宋_GB2312"/>
              </w:rPr>
              <w:t>年</w:t>
            </w:r>
          </w:p>
        </w:tc>
        <w:tc>
          <w:tcPr>
            <w:tcW w:type="dxa" w:w="831"/>
          </w:tcPr>
          <w:p>
            <w:pPr>
              <w:pStyle w:val="null3"/>
            </w:pPr>
            <w:r>
              <w:rPr>
                <w:rFonts w:ascii="仿宋_GB2312" w:hAnsi="仿宋_GB2312" w:cs="仿宋_GB2312" w:eastAsia="仿宋_GB2312"/>
              </w:rPr>
              <w:t>物业管理</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标的名称：办公大楼物业服务采购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一、技术服务内容及具体要求</w:t>
            </w:r>
          </w:p>
          <w:p>
            <w:pPr>
              <w:pStyle w:val="null3"/>
            </w:pPr>
            <w:r>
              <w:rPr>
                <w:rFonts w:ascii="仿宋_GB2312" w:hAnsi="仿宋_GB2312" w:cs="仿宋_GB2312" w:eastAsia="仿宋_GB2312"/>
              </w:rPr>
              <w:t>（一）服务人员岗位分配及人数</w:t>
            </w:r>
          </w:p>
          <w:tbl>
            <w:tblPr>
              <w:tblBorders>
                <w:top w:val="single"/>
                <w:left w:val="single"/>
                <w:bottom w:val="single"/>
                <w:right w:val="single"/>
                <w:insideH w:val="single"/>
                <w:insideV w:val="single"/>
              </w:tblBorders>
            </w:tblPr>
            <w:tblGrid>
              <w:gridCol w:w="638"/>
              <w:gridCol w:w="638"/>
              <w:gridCol w:w="638"/>
              <w:gridCol w:w="638"/>
            </w:tblGrid>
            <w:tr>
              <w:tc>
                <w:tcPr>
                  <w:tcW w:type="dxa" w:w="638"/>
                </w:tcPr>
                <w:p>
                  <w:pPr>
                    <w:pStyle w:val="null3"/>
                  </w:pPr>
                  <w:r>
                    <w:rPr>
                      <w:rFonts w:ascii="仿宋_GB2312" w:hAnsi="仿宋_GB2312" w:cs="仿宋_GB2312" w:eastAsia="仿宋_GB2312"/>
                    </w:rPr>
                    <w:t>序号</w:t>
                  </w:r>
                </w:p>
              </w:tc>
              <w:tc>
                <w:tcPr>
                  <w:tcW w:type="dxa" w:w="638"/>
                </w:tcPr>
                <w:p>
                  <w:pPr>
                    <w:pStyle w:val="null3"/>
                  </w:pPr>
                  <w:r>
                    <w:rPr>
                      <w:rFonts w:ascii="仿宋_GB2312" w:hAnsi="仿宋_GB2312" w:cs="仿宋_GB2312" w:eastAsia="仿宋_GB2312"/>
                    </w:rPr>
                    <w:t>品目</w:t>
                  </w:r>
                </w:p>
              </w:tc>
              <w:tc>
                <w:tcPr>
                  <w:tcW w:type="dxa" w:w="638"/>
                </w:tcPr>
                <w:p>
                  <w:pPr>
                    <w:pStyle w:val="null3"/>
                  </w:pPr>
                  <w:r>
                    <w:rPr>
                      <w:rFonts w:ascii="仿宋_GB2312" w:hAnsi="仿宋_GB2312" w:cs="仿宋_GB2312" w:eastAsia="仿宋_GB2312"/>
                    </w:rPr>
                    <w:t>人数</w:t>
                  </w:r>
                </w:p>
              </w:tc>
              <w:tc>
                <w:tcPr>
                  <w:tcW w:type="dxa" w:w="638"/>
                </w:tcPr>
                <w:p>
                  <w:pPr>
                    <w:pStyle w:val="null3"/>
                  </w:pPr>
                  <w:r>
                    <w:rPr>
                      <w:rFonts w:ascii="仿宋_GB2312" w:hAnsi="仿宋_GB2312" w:cs="仿宋_GB2312" w:eastAsia="仿宋_GB2312"/>
                    </w:rPr>
                    <w:t>备注</w:t>
                  </w:r>
                </w:p>
              </w:tc>
            </w:tr>
            <w:tr>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保安</w:t>
                  </w:r>
                </w:p>
              </w:tc>
              <w:tc>
                <w:tcPr>
                  <w:tcW w:type="dxa" w:w="638"/>
                </w:tcPr>
                <w:p>
                  <w:pPr>
                    <w:pStyle w:val="null3"/>
                  </w:pPr>
                  <w:r>
                    <w:rPr>
                      <w:rFonts w:ascii="仿宋_GB2312" w:hAnsi="仿宋_GB2312" w:cs="仿宋_GB2312" w:eastAsia="仿宋_GB2312"/>
                    </w:rPr>
                    <w:t>3人</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2</w:t>
                  </w:r>
                </w:p>
              </w:tc>
              <w:tc>
                <w:tcPr>
                  <w:tcW w:type="dxa" w:w="638"/>
                </w:tcPr>
                <w:p>
                  <w:pPr>
                    <w:pStyle w:val="null3"/>
                  </w:pPr>
                  <w:r>
                    <w:rPr>
                      <w:rFonts w:ascii="仿宋_GB2312" w:hAnsi="仿宋_GB2312" w:cs="仿宋_GB2312" w:eastAsia="仿宋_GB2312"/>
                    </w:rPr>
                    <w:t>保洁</w:t>
                  </w:r>
                </w:p>
              </w:tc>
              <w:tc>
                <w:tcPr>
                  <w:tcW w:type="dxa" w:w="638"/>
                </w:tcPr>
                <w:p>
                  <w:pPr>
                    <w:pStyle w:val="null3"/>
                  </w:pPr>
                  <w:r>
                    <w:rPr>
                      <w:rFonts w:ascii="仿宋_GB2312" w:hAnsi="仿宋_GB2312" w:cs="仿宋_GB2312" w:eastAsia="仿宋_GB2312"/>
                    </w:rPr>
                    <w:t>2人</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3</w:t>
                  </w:r>
                </w:p>
              </w:tc>
              <w:tc>
                <w:tcPr>
                  <w:tcW w:type="dxa" w:w="638"/>
                </w:tcPr>
                <w:p>
                  <w:pPr>
                    <w:pStyle w:val="null3"/>
                  </w:pPr>
                  <w:r>
                    <w:rPr>
                      <w:rFonts w:ascii="仿宋_GB2312" w:hAnsi="仿宋_GB2312" w:cs="仿宋_GB2312" w:eastAsia="仿宋_GB2312"/>
                    </w:rPr>
                    <w:t>中央空调维护及水电工</w:t>
                  </w:r>
                </w:p>
              </w:tc>
              <w:tc>
                <w:tcPr>
                  <w:tcW w:type="dxa" w:w="638"/>
                </w:tcPr>
                <w:p>
                  <w:pPr>
                    <w:pStyle w:val="null3"/>
                  </w:pPr>
                  <w:r>
                    <w:rPr>
                      <w:rFonts w:ascii="仿宋_GB2312" w:hAnsi="仿宋_GB2312" w:cs="仿宋_GB2312" w:eastAsia="仿宋_GB2312"/>
                    </w:rPr>
                    <w:t>2人</w:t>
                  </w:r>
                </w:p>
              </w:tc>
              <w:tc>
                <w:tcPr>
                  <w:tcW w:type="dxa" w:w="638"/>
                </w:tcPr>
                <w:p>
                  <w:pPr>
                    <w:pStyle w:val="null3"/>
                  </w:pPr>
                  <w:r>
                    <w:rPr>
                      <w:rFonts w:ascii="仿宋_GB2312" w:hAnsi="仿宋_GB2312" w:cs="仿宋_GB2312" w:eastAsia="仿宋_GB2312"/>
                    </w:rPr>
                    <w:t xml:space="preserve"> </w:t>
                  </w:r>
                </w:p>
              </w:tc>
            </w:tr>
            <w:tr>
              <w:tc>
                <w:tcPr>
                  <w:tcW w:type="dxa" w:w="2552"/>
                  <w:gridSpan w:val="4"/>
                </w:tcPr>
                <w:p>
                  <w:pPr>
                    <w:pStyle w:val="null3"/>
                  </w:pPr>
                  <w:r>
                    <w:rPr>
                      <w:rFonts w:ascii="仿宋_GB2312" w:hAnsi="仿宋_GB2312" w:cs="仿宋_GB2312" w:eastAsia="仿宋_GB2312"/>
                    </w:rPr>
                    <w:t>备注：一年费用不能超过28.20万元</w:t>
                  </w:r>
                </w:p>
                <w:p>
                  <w:pPr>
                    <w:pStyle w:val="null3"/>
                  </w:pPr>
                  <w:r>
                    <w:rPr>
                      <w:rFonts w:ascii="仿宋_GB2312" w:hAnsi="仿宋_GB2312" w:cs="仿宋_GB2312" w:eastAsia="仿宋_GB2312"/>
                    </w:rPr>
                    <w:t xml:space="preserve">       三年总费用不能超过84.60万元</w:t>
                  </w:r>
                </w:p>
              </w:tc>
            </w:tr>
          </w:tbl>
          <w:p>
            <w:pPr>
              <w:pStyle w:val="null3"/>
            </w:pPr>
            <w:r>
              <w:rPr>
                <w:rFonts w:ascii="仿宋_GB2312" w:hAnsi="仿宋_GB2312" w:cs="仿宋_GB2312" w:eastAsia="仿宋_GB2312"/>
              </w:rPr>
              <w:t>（二）保安人员工作安排及具体要求</w:t>
            </w:r>
          </w:p>
          <w:p>
            <w:pPr>
              <w:pStyle w:val="null3"/>
            </w:pPr>
            <w:r>
              <w:rPr>
                <w:rFonts w:ascii="仿宋_GB2312" w:hAnsi="仿宋_GB2312" w:cs="仿宋_GB2312" w:eastAsia="仿宋_GB2312"/>
              </w:rPr>
              <w:t>1、保安服务要求</w:t>
            </w:r>
          </w:p>
          <w:p>
            <w:pPr>
              <w:pStyle w:val="null3"/>
            </w:pPr>
            <w:r>
              <w:rPr>
                <w:rFonts w:ascii="仿宋_GB2312" w:hAnsi="仿宋_GB2312" w:cs="仿宋_GB2312" w:eastAsia="仿宋_GB2312"/>
              </w:rPr>
              <w:t>1.1.承包方式为成交人大包干的方式承包服务（自行招用保安员的单位，应当自开始保安服务之日起30日内向所在地设区的市级人民政府公安机关备案。）。</w:t>
            </w:r>
          </w:p>
          <w:p>
            <w:pPr>
              <w:pStyle w:val="null3"/>
            </w:pPr>
            <w:r>
              <w:rPr>
                <w:rFonts w:ascii="仿宋_GB2312" w:hAnsi="仿宋_GB2312" w:cs="仿宋_GB2312" w:eastAsia="仿宋_GB2312"/>
              </w:rPr>
              <w:t>1.2.服务范围为采购人单位大院、门卫值班室、公共区域、机关各楼层、食堂等区域的安保、巡视;单位进出车辆的停放管理;外来办事人员车辆管理以及人员登记及甲方临时安排的安保工作等。</w:t>
            </w:r>
          </w:p>
          <w:p>
            <w:pPr>
              <w:pStyle w:val="null3"/>
            </w:pPr>
            <w:r>
              <w:rPr>
                <w:rFonts w:ascii="仿宋_GB2312" w:hAnsi="仿宋_GB2312" w:cs="仿宋_GB2312" w:eastAsia="仿宋_GB2312"/>
              </w:rPr>
              <w:t>2、日常工作内容</w:t>
            </w:r>
          </w:p>
          <w:p>
            <w:pPr>
              <w:pStyle w:val="null3"/>
            </w:pPr>
            <w:r>
              <w:rPr>
                <w:rFonts w:ascii="仿宋_GB2312" w:hAnsi="仿宋_GB2312" w:cs="仿宋_GB2312" w:eastAsia="仿宋_GB2312"/>
              </w:rPr>
              <w:t>2.1.值班出勤时间</w:t>
            </w:r>
          </w:p>
          <w:p>
            <w:pPr>
              <w:pStyle w:val="null3"/>
            </w:pPr>
            <w:r>
              <w:rPr>
                <w:rFonts w:ascii="仿宋_GB2312" w:hAnsi="仿宋_GB2312" w:cs="仿宋_GB2312" w:eastAsia="仿宋_GB2312"/>
              </w:rPr>
              <w:t>出勤时间为24小时制，在岗人员自行调配，每天巡查时间自行合理安排，保证巡查无死角，有突发重大情况及时处理并上报采购人。</w:t>
            </w:r>
          </w:p>
          <w:p>
            <w:pPr>
              <w:pStyle w:val="null3"/>
            </w:pPr>
            <w:r>
              <w:rPr>
                <w:rFonts w:ascii="仿宋_GB2312" w:hAnsi="仿宋_GB2312" w:cs="仿宋_GB2312" w:eastAsia="仿宋_GB2312"/>
              </w:rPr>
              <w:t>2.2.工作职责与规范</w:t>
            </w:r>
          </w:p>
          <w:p>
            <w:pPr>
              <w:pStyle w:val="null3"/>
            </w:pPr>
            <w:r>
              <w:rPr>
                <w:rFonts w:ascii="仿宋_GB2312" w:hAnsi="仿宋_GB2312" w:cs="仿宋_GB2312" w:eastAsia="仿宋_GB2312"/>
              </w:rPr>
              <w:t>(1)在岗员工持证上岗，统一着装；</w:t>
            </w:r>
          </w:p>
          <w:p>
            <w:pPr>
              <w:pStyle w:val="null3"/>
            </w:pPr>
            <w:r>
              <w:rPr>
                <w:rFonts w:ascii="仿宋_GB2312" w:hAnsi="仿宋_GB2312" w:cs="仿宋_GB2312" w:eastAsia="仿宋_GB2312"/>
              </w:rPr>
              <w:t>(2)恪尽职守、文明执勤、礼貌待客；</w:t>
            </w:r>
          </w:p>
          <w:p>
            <w:pPr>
              <w:pStyle w:val="null3"/>
            </w:pPr>
            <w:r>
              <w:rPr>
                <w:rFonts w:ascii="仿宋_GB2312" w:hAnsi="仿宋_GB2312" w:cs="仿宋_GB2312" w:eastAsia="仿宋_GB2312"/>
              </w:rPr>
              <w:t>(3)礼貌接听电话，对上级的吩咐和通知事项，应准确的记录并立即传达；</w:t>
            </w:r>
          </w:p>
          <w:p>
            <w:pPr>
              <w:pStyle w:val="null3"/>
            </w:pPr>
            <w:r>
              <w:rPr>
                <w:rFonts w:ascii="仿宋_GB2312" w:hAnsi="仿宋_GB2312" w:cs="仿宋_GB2312" w:eastAsia="仿宋_GB2312"/>
              </w:rPr>
              <w:t>(4)遇有重大事件或可疑人物，应临危不乱，不卑不亢，果断做适当的处置，并立即报告直接上级。</w:t>
            </w:r>
          </w:p>
          <w:p>
            <w:pPr>
              <w:pStyle w:val="null3"/>
            </w:pPr>
            <w:r>
              <w:rPr>
                <w:rFonts w:ascii="仿宋_GB2312" w:hAnsi="仿宋_GB2312" w:cs="仿宋_GB2312" w:eastAsia="仿宋_GB2312"/>
              </w:rPr>
              <w:t>2.3.公共秩序维护</w:t>
            </w:r>
          </w:p>
          <w:p>
            <w:pPr>
              <w:pStyle w:val="null3"/>
            </w:pPr>
            <w:r>
              <w:rPr>
                <w:rFonts w:ascii="仿宋_GB2312" w:hAnsi="仿宋_GB2312" w:cs="仿宋_GB2312" w:eastAsia="仿宋_GB2312"/>
              </w:rPr>
              <w:t>(1)交接班时，应将注意事项交代清楚，并将值班中所发生的重要事项登记《门卫值班记录》,重要通知及时传达给有关人员。</w:t>
            </w:r>
          </w:p>
          <w:p>
            <w:pPr>
              <w:pStyle w:val="null3"/>
            </w:pPr>
            <w:r>
              <w:rPr>
                <w:rFonts w:ascii="仿宋_GB2312" w:hAnsi="仿宋_GB2312" w:cs="仿宋_GB2312" w:eastAsia="仿宋_GB2312"/>
              </w:rPr>
              <w:t>(2)按单位规定填写、保存值班的各项工作记录，每个月末上缴电话记录薄查验备案。</w:t>
            </w:r>
          </w:p>
          <w:p>
            <w:pPr>
              <w:pStyle w:val="null3"/>
            </w:pPr>
            <w:r>
              <w:rPr>
                <w:rFonts w:ascii="仿宋_GB2312" w:hAnsi="仿宋_GB2312" w:cs="仿宋_GB2312" w:eastAsia="仿宋_GB2312"/>
              </w:rPr>
              <w:t>（3）引导采购人遵守管理规约（临时管理规约）的约定，禁止饲养家禽、家畜，饲养宠物必须符合相关规定，对违反者及时劝止、报告，并配合有关部门进行处理。</w:t>
            </w:r>
          </w:p>
          <w:p>
            <w:pPr>
              <w:pStyle w:val="null3"/>
            </w:pPr>
            <w:r>
              <w:rPr>
                <w:rFonts w:ascii="仿宋_GB2312" w:hAnsi="仿宋_GB2312" w:cs="仿宋_GB2312" w:eastAsia="仿宋_GB2312"/>
              </w:rPr>
              <w:t>（4）对火灾、漏水、公共卫生等突发事件有应急处理预案，事发时果断处理并及时报告公司和采购人。</w:t>
            </w:r>
          </w:p>
          <w:p>
            <w:pPr>
              <w:pStyle w:val="null3"/>
            </w:pPr>
            <w:r>
              <w:rPr>
                <w:rFonts w:ascii="仿宋_GB2312" w:hAnsi="仿宋_GB2312" w:cs="仿宋_GB2312" w:eastAsia="仿宋_GB2312"/>
              </w:rPr>
              <w:t>3、处罚</w:t>
            </w:r>
          </w:p>
          <w:p>
            <w:pPr>
              <w:pStyle w:val="null3"/>
            </w:pPr>
            <w:r>
              <w:rPr>
                <w:rFonts w:ascii="仿宋_GB2312" w:hAnsi="仿宋_GB2312" w:cs="仿宋_GB2312" w:eastAsia="仿宋_GB2312"/>
              </w:rPr>
              <w:t>采购人有权随时检查门卫的服务、按照合同约定的标准，如未达到采购人要求，采购人口头责令成交人整改，如仍未整改的，采购人将有权给成交人下达书面整改通知并罚款。</w:t>
            </w:r>
          </w:p>
          <w:p>
            <w:pPr>
              <w:pStyle w:val="null3"/>
            </w:pPr>
            <w:r>
              <w:rPr>
                <w:rFonts w:ascii="仿宋_GB2312" w:hAnsi="仿宋_GB2312" w:cs="仿宋_GB2312" w:eastAsia="仿宋_GB2312"/>
              </w:rPr>
              <w:t>4、责任</w:t>
            </w:r>
          </w:p>
          <w:p>
            <w:pPr>
              <w:pStyle w:val="null3"/>
            </w:pPr>
            <w:r>
              <w:rPr>
                <w:rFonts w:ascii="仿宋_GB2312" w:hAnsi="仿宋_GB2312" w:cs="仿宋_GB2312" w:eastAsia="仿宋_GB2312"/>
              </w:rPr>
              <w:t>成交人负责承担成交人员工的工资、养老保险、工伤保险、人身意外保险，劳保福利及其他一切费用，成交人员工在承包期内人身安全，由成交人全权负责。</w:t>
            </w:r>
          </w:p>
          <w:p>
            <w:pPr>
              <w:pStyle w:val="null3"/>
            </w:pPr>
            <w:r>
              <w:rPr>
                <w:rFonts w:ascii="仿宋_GB2312" w:hAnsi="仿宋_GB2312" w:cs="仿宋_GB2312" w:eastAsia="仿宋_GB2312"/>
              </w:rPr>
              <w:t>（三）保洁人员工作安排及具体要求</w:t>
            </w:r>
          </w:p>
          <w:p>
            <w:pPr>
              <w:pStyle w:val="null3"/>
            </w:pPr>
            <w:r>
              <w:rPr>
                <w:rFonts w:ascii="仿宋_GB2312" w:hAnsi="仿宋_GB2312" w:cs="仿宋_GB2312" w:eastAsia="仿宋_GB2312"/>
              </w:rPr>
              <w:t>1、保洁服务要求</w:t>
            </w:r>
          </w:p>
          <w:p>
            <w:pPr>
              <w:pStyle w:val="null3"/>
            </w:pPr>
            <w:r>
              <w:rPr>
                <w:rFonts w:ascii="仿宋_GB2312" w:hAnsi="仿宋_GB2312" w:cs="仿宋_GB2312" w:eastAsia="仿宋_GB2312"/>
              </w:rPr>
              <w:t>1.1.承包方式为成交人大包干的方式承包。</w:t>
            </w:r>
          </w:p>
          <w:p>
            <w:pPr>
              <w:pStyle w:val="null3"/>
            </w:pPr>
            <w:r>
              <w:rPr>
                <w:rFonts w:ascii="仿宋_GB2312" w:hAnsi="仿宋_GB2312" w:cs="仿宋_GB2312" w:eastAsia="仿宋_GB2312"/>
              </w:rPr>
              <w:t>2、服务范围</w:t>
            </w:r>
          </w:p>
          <w:p>
            <w:pPr>
              <w:pStyle w:val="null3"/>
            </w:pPr>
            <w:r>
              <w:rPr>
                <w:rFonts w:ascii="仿宋_GB2312" w:hAnsi="仿宋_GB2312" w:cs="仿宋_GB2312" w:eastAsia="仿宋_GB2312"/>
              </w:rPr>
              <w:t>2.1.楼内共用区域</w:t>
            </w:r>
          </w:p>
          <w:p>
            <w:pPr>
              <w:pStyle w:val="null3"/>
            </w:pPr>
            <w:r>
              <w:rPr>
                <w:rFonts w:ascii="仿宋_GB2312" w:hAnsi="仿宋_GB2312" w:cs="仿宋_GB2312" w:eastAsia="仿宋_GB2312"/>
              </w:rPr>
              <w:t>2.1.1地面</w:t>
            </w:r>
          </w:p>
          <w:p>
            <w:pPr>
              <w:pStyle w:val="null3"/>
            </w:pPr>
            <w:r>
              <w:rPr>
                <w:rFonts w:ascii="仿宋_GB2312" w:hAnsi="仿宋_GB2312" w:cs="仿宋_GB2312" w:eastAsia="仿宋_GB2312"/>
              </w:rPr>
              <w:t>一楼大厅，每日随时清扫保持干净整洁。</w:t>
            </w:r>
          </w:p>
          <w:p>
            <w:pPr>
              <w:pStyle w:val="null3"/>
            </w:pPr>
            <w:r>
              <w:rPr>
                <w:rFonts w:ascii="仿宋_GB2312" w:hAnsi="仿宋_GB2312" w:cs="仿宋_GB2312" w:eastAsia="仿宋_GB2312"/>
              </w:rPr>
              <w:t>楼内通道和楼梯，每日随时清扫保持干净整洁。</w:t>
            </w:r>
          </w:p>
          <w:p>
            <w:pPr>
              <w:pStyle w:val="null3"/>
            </w:pPr>
            <w:r>
              <w:rPr>
                <w:rFonts w:ascii="仿宋_GB2312" w:hAnsi="仿宋_GB2312" w:cs="仿宋_GB2312" w:eastAsia="仿宋_GB2312"/>
              </w:rPr>
              <w:t>2.1.2墙面发现灰尘及时清理。</w:t>
            </w:r>
          </w:p>
          <w:p>
            <w:pPr>
              <w:pStyle w:val="null3"/>
            </w:pPr>
            <w:r>
              <w:rPr>
                <w:rFonts w:ascii="仿宋_GB2312" w:hAnsi="仿宋_GB2312" w:cs="仿宋_GB2312" w:eastAsia="仿宋_GB2312"/>
              </w:rPr>
              <w:t>2.1.3楼梯扶手、电梯按钮、照明开关按钮，发现灰尘及时清理，保持表面干净、无污渍。</w:t>
            </w:r>
          </w:p>
          <w:p>
            <w:pPr>
              <w:pStyle w:val="null3"/>
            </w:pPr>
            <w:r>
              <w:rPr>
                <w:rFonts w:ascii="仿宋_GB2312" w:hAnsi="仿宋_GB2312" w:cs="仿宋_GB2312" w:eastAsia="仿宋_GB2312"/>
              </w:rPr>
              <w:t>2.1.4栏杆、窗台、消防栓、标识牌等共用设施，发现灰尘及时清理，保持表面无污渍。</w:t>
            </w:r>
          </w:p>
          <w:p>
            <w:pPr>
              <w:pStyle w:val="null3"/>
            </w:pPr>
            <w:r>
              <w:rPr>
                <w:rFonts w:ascii="仿宋_GB2312" w:hAnsi="仿宋_GB2312" w:cs="仿宋_GB2312" w:eastAsia="仿宋_GB2312"/>
              </w:rPr>
              <w:t>2.1.5天花板、共用照明灯具，发现灰尘及时清理，目视无污渍、无蛛网。</w:t>
            </w:r>
          </w:p>
          <w:p>
            <w:pPr>
              <w:pStyle w:val="null3"/>
            </w:pPr>
            <w:r>
              <w:rPr>
                <w:rFonts w:ascii="仿宋_GB2312" w:hAnsi="仿宋_GB2312" w:cs="仿宋_GB2312" w:eastAsia="仿宋_GB2312"/>
              </w:rPr>
              <w:t>2.1.6门、窗、玻璃等，发现污渍及时清理，目视洁净、光亮。</w:t>
            </w:r>
          </w:p>
          <w:p>
            <w:pPr>
              <w:pStyle w:val="null3"/>
            </w:pPr>
            <w:r>
              <w:rPr>
                <w:rFonts w:ascii="仿宋_GB2312" w:hAnsi="仿宋_GB2312" w:cs="仿宋_GB2312" w:eastAsia="仿宋_GB2312"/>
              </w:rPr>
              <w:t>2.1.7电梯轿厢，每日清扫、擦拭消毒；做到表面光亮、无污渍。</w:t>
            </w:r>
          </w:p>
          <w:p>
            <w:pPr>
              <w:pStyle w:val="null3"/>
            </w:pPr>
            <w:r>
              <w:rPr>
                <w:rFonts w:ascii="仿宋_GB2312" w:hAnsi="仿宋_GB2312" w:cs="仿宋_GB2312" w:eastAsia="仿宋_GB2312"/>
              </w:rPr>
              <w:t>2.2.楼外共用区域</w:t>
            </w:r>
          </w:p>
          <w:p>
            <w:pPr>
              <w:pStyle w:val="null3"/>
            </w:pPr>
            <w:r>
              <w:rPr>
                <w:rFonts w:ascii="仿宋_GB2312" w:hAnsi="仿宋_GB2312" w:cs="仿宋_GB2312" w:eastAsia="仿宋_GB2312"/>
              </w:rPr>
              <w:t>2.2.1硬化道路地面：每日清扫，目视地面干净无垃圾。</w:t>
            </w:r>
          </w:p>
          <w:p>
            <w:pPr>
              <w:pStyle w:val="null3"/>
            </w:pPr>
            <w:r>
              <w:rPr>
                <w:rFonts w:ascii="仿宋_GB2312" w:hAnsi="仿宋_GB2312" w:cs="仿宋_GB2312" w:eastAsia="仿宋_GB2312"/>
              </w:rPr>
              <w:t>2.2.2绿地、明沟：不定时清扫，做到无杂物、无积水。</w:t>
            </w:r>
          </w:p>
          <w:p>
            <w:pPr>
              <w:pStyle w:val="null3"/>
            </w:pPr>
            <w:r>
              <w:rPr>
                <w:rFonts w:ascii="仿宋_GB2312" w:hAnsi="仿宋_GB2312" w:cs="仿宋_GB2312" w:eastAsia="仿宋_GB2312"/>
              </w:rPr>
              <w:t>2.2.3共用照明灯具、宣传栏等：不定时清扫，目视无污渍、明亮清洁。</w:t>
            </w:r>
          </w:p>
          <w:p>
            <w:pPr>
              <w:pStyle w:val="null3"/>
            </w:pPr>
            <w:r>
              <w:rPr>
                <w:rFonts w:ascii="仿宋_GB2312" w:hAnsi="仿宋_GB2312" w:cs="仿宋_GB2312" w:eastAsia="仿宋_GB2312"/>
              </w:rPr>
              <w:t>2.2.4积水、积雪清扫及时。</w:t>
            </w:r>
          </w:p>
          <w:p>
            <w:pPr>
              <w:pStyle w:val="null3"/>
            </w:pPr>
            <w:r>
              <w:rPr>
                <w:rFonts w:ascii="仿宋_GB2312" w:hAnsi="仿宋_GB2312" w:cs="仿宋_GB2312" w:eastAsia="仿宋_GB2312"/>
              </w:rPr>
              <w:t>2.3.公共卫生间</w:t>
            </w:r>
          </w:p>
          <w:p>
            <w:pPr>
              <w:pStyle w:val="null3"/>
            </w:pPr>
            <w:r>
              <w:rPr>
                <w:rFonts w:ascii="仿宋_GB2312" w:hAnsi="仿宋_GB2312" w:cs="仿宋_GB2312" w:eastAsia="仿宋_GB2312"/>
              </w:rPr>
              <w:t>每天全面随时清洁，保持无异味，如发现漏水等问题及时反映，卫生间应配备必要的保洁工具，专物专用，摆放整齐，配备卫生标识牌；卫生间洗漱台、镜面、大小便池、隔板、灭蝇灯等，每天全面保持清洁，并放置卫生球、及时喷洒消杀，防止四害。</w:t>
            </w:r>
          </w:p>
          <w:p>
            <w:pPr>
              <w:pStyle w:val="null3"/>
            </w:pPr>
            <w:r>
              <w:rPr>
                <w:rFonts w:ascii="仿宋_GB2312" w:hAnsi="仿宋_GB2312" w:cs="仿宋_GB2312" w:eastAsia="仿宋_GB2312"/>
              </w:rPr>
              <w:t>2.3.1生活垃圾日产日清，垃圾桶、果壳箱无满溢现象。</w:t>
            </w:r>
          </w:p>
          <w:p>
            <w:pPr>
              <w:pStyle w:val="null3"/>
            </w:pPr>
            <w:r>
              <w:rPr>
                <w:rFonts w:ascii="仿宋_GB2312" w:hAnsi="仿宋_GB2312" w:cs="仿宋_GB2312" w:eastAsia="仿宋_GB2312"/>
              </w:rPr>
              <w:t>2.4.定期灭虫除害</w:t>
            </w:r>
          </w:p>
          <w:p>
            <w:pPr>
              <w:pStyle w:val="null3"/>
            </w:pPr>
            <w:r>
              <w:rPr>
                <w:rFonts w:ascii="仿宋_GB2312" w:hAnsi="仿宋_GB2312" w:cs="仿宋_GB2312" w:eastAsia="仿宋_GB2312"/>
              </w:rPr>
              <w:t>每2个月对明沟、垃圾房喷洒药水一次，每半年灭鼠一次。喷洒农药、投放鼠饵按创卫要求设置必要的标识。</w:t>
            </w:r>
          </w:p>
          <w:p>
            <w:pPr>
              <w:pStyle w:val="null3"/>
            </w:pPr>
            <w:r>
              <w:rPr>
                <w:rFonts w:ascii="仿宋_GB2312" w:hAnsi="仿宋_GB2312" w:cs="仿宋_GB2312" w:eastAsia="仿宋_GB2312"/>
              </w:rPr>
              <w:t>2.5.保洁设备</w:t>
            </w:r>
          </w:p>
          <w:p>
            <w:pPr>
              <w:pStyle w:val="null3"/>
            </w:pPr>
            <w:r>
              <w:rPr>
                <w:rFonts w:ascii="仿宋_GB2312" w:hAnsi="仿宋_GB2312" w:cs="仿宋_GB2312" w:eastAsia="仿宋_GB2312"/>
              </w:rPr>
              <w:t>按保洁需要配置相应的保洁工具。</w:t>
            </w:r>
          </w:p>
          <w:p>
            <w:pPr>
              <w:pStyle w:val="null3"/>
            </w:pPr>
            <w:r>
              <w:rPr>
                <w:rFonts w:ascii="仿宋_GB2312" w:hAnsi="仿宋_GB2312" w:cs="仿宋_GB2312" w:eastAsia="仿宋_GB2312"/>
              </w:rPr>
              <w:t>2.6.采购人临时安排的其他公共保洁服务。</w:t>
            </w:r>
          </w:p>
          <w:p>
            <w:pPr>
              <w:pStyle w:val="null3"/>
            </w:pPr>
            <w:r>
              <w:rPr>
                <w:rFonts w:ascii="仿宋_GB2312" w:hAnsi="仿宋_GB2312" w:cs="仿宋_GB2312" w:eastAsia="仿宋_GB2312"/>
              </w:rPr>
              <w:t>3、保洁服务的标准</w:t>
            </w:r>
          </w:p>
          <w:p>
            <w:pPr>
              <w:pStyle w:val="null3"/>
            </w:pPr>
            <w:r>
              <w:rPr>
                <w:rFonts w:ascii="仿宋_GB2312" w:hAnsi="仿宋_GB2312" w:cs="仿宋_GB2312" w:eastAsia="仿宋_GB2312"/>
              </w:rPr>
              <w:t>3.1.保洁耗材由成交人提供，由成交人提供《日常保洁卫生质量标准》，并按标准执行。</w:t>
            </w:r>
          </w:p>
          <w:p>
            <w:pPr>
              <w:pStyle w:val="null3"/>
            </w:pPr>
            <w:r>
              <w:rPr>
                <w:rFonts w:ascii="仿宋_GB2312" w:hAnsi="仿宋_GB2312" w:cs="仿宋_GB2312" w:eastAsia="仿宋_GB2312"/>
              </w:rPr>
              <w:t>3.2.成交人安排进驻人力资源大楼的保洁人员以及定期清理、扫除的保洁人员应当遵守采购人制定的各项规章制度，服从采购人的管理，爱护采购人财物。</w:t>
            </w:r>
          </w:p>
          <w:p>
            <w:pPr>
              <w:pStyle w:val="null3"/>
            </w:pPr>
            <w:r>
              <w:rPr>
                <w:rFonts w:ascii="仿宋_GB2312" w:hAnsi="仿宋_GB2312" w:cs="仿宋_GB2312" w:eastAsia="仿宋_GB2312"/>
              </w:rPr>
              <w:t>4、责任</w:t>
            </w:r>
          </w:p>
          <w:p>
            <w:pPr>
              <w:pStyle w:val="null3"/>
            </w:pPr>
            <w:r>
              <w:rPr>
                <w:rFonts w:ascii="仿宋_GB2312" w:hAnsi="仿宋_GB2312" w:cs="仿宋_GB2312" w:eastAsia="仿宋_GB2312"/>
              </w:rPr>
              <w:t>4.1.成交人负责承担保洁人员工的工资、养老保险、工伤意外保险、劳保福利及其他一切费用，成交人员工在承包期间的人身安全由成交人全权负责。</w:t>
            </w:r>
          </w:p>
          <w:p>
            <w:pPr>
              <w:pStyle w:val="null3"/>
            </w:pPr>
            <w:r>
              <w:rPr>
                <w:rFonts w:ascii="仿宋_GB2312" w:hAnsi="仿宋_GB2312" w:cs="仿宋_GB2312" w:eastAsia="仿宋_GB2312"/>
              </w:rPr>
              <w:t>4.2.按创建卫生城市的要求建立档案并上报采购人。</w:t>
            </w:r>
          </w:p>
          <w:p>
            <w:pPr>
              <w:pStyle w:val="null3"/>
            </w:pPr>
            <w:r>
              <w:rPr>
                <w:rFonts w:ascii="仿宋_GB2312" w:hAnsi="仿宋_GB2312" w:cs="仿宋_GB2312" w:eastAsia="仿宋_GB2312"/>
              </w:rPr>
              <w:t>（四）中央空调维修保养及水电工人员工作安排及具体要求</w:t>
            </w:r>
          </w:p>
          <w:p>
            <w:pPr>
              <w:pStyle w:val="null3"/>
            </w:pPr>
            <w:r>
              <w:rPr>
                <w:rFonts w:ascii="仿宋_GB2312" w:hAnsi="仿宋_GB2312" w:cs="仿宋_GB2312" w:eastAsia="仿宋_GB2312"/>
              </w:rPr>
              <w:t xml:space="preserve">  1、中央空调维修保养服务要求 </w:t>
            </w:r>
          </w:p>
          <w:p>
            <w:pPr>
              <w:pStyle w:val="null3"/>
            </w:pPr>
            <w:r>
              <w:rPr>
                <w:rFonts w:ascii="仿宋_GB2312" w:hAnsi="仿宋_GB2312" w:cs="仿宋_GB2312" w:eastAsia="仿宋_GB2312"/>
              </w:rPr>
              <w:t xml:space="preserve"> 1.1.成交人服务范围包括全部地热中央空调系统设备。具体包括：</w:t>
            </w:r>
          </w:p>
          <w:p>
            <w:pPr>
              <w:pStyle w:val="null3"/>
            </w:pPr>
            <w:r>
              <w:rPr>
                <w:rFonts w:ascii="仿宋_GB2312" w:hAnsi="仿宋_GB2312" w:cs="仿宋_GB2312" w:eastAsia="仿宋_GB2312"/>
              </w:rPr>
              <w:t>(1)地下室机房设备部分：蒸发器、手动球阀(阀门)、干燥过滤器、视液镜、电磁阀、热力膨涨阀、冷凝器、安全阀、高压压力表、高低压控制器、低压压力表、排水阀、软化水系统、水泵及进、出水、回水管网、除沙器、水流开关；排水系统、电源控制柜总成、启动柜控制器总成、通风系统等其它相关配套设备的维护维修。</w:t>
            </w:r>
          </w:p>
          <w:p>
            <w:pPr>
              <w:pStyle w:val="null3"/>
            </w:pPr>
            <w:r>
              <w:rPr>
                <w:rFonts w:ascii="仿宋_GB2312" w:hAnsi="仿宋_GB2312" w:cs="仿宋_GB2312" w:eastAsia="仿宋_GB2312"/>
              </w:rPr>
              <w:t>（2）大楼楼内设备部分：进出水、回水、盘管通风管网、盘管总成、控制电气设备等其它相关配套设备的维护维修。</w:t>
            </w:r>
          </w:p>
          <w:p>
            <w:pPr>
              <w:pStyle w:val="null3"/>
            </w:pPr>
            <w:r>
              <w:rPr>
                <w:rFonts w:ascii="仿宋_GB2312" w:hAnsi="仿宋_GB2312" w:cs="仿宋_GB2312" w:eastAsia="仿宋_GB2312"/>
              </w:rPr>
              <w:t>(3)室外地下设备部分：两口深井及水泵、管道、阀门、电源及电源接地。其它相关配套设备等维护维修。</w:t>
            </w:r>
          </w:p>
          <w:p>
            <w:pPr>
              <w:pStyle w:val="null3"/>
            </w:pPr>
            <w:r>
              <w:rPr>
                <w:rFonts w:ascii="仿宋_GB2312" w:hAnsi="仿宋_GB2312" w:cs="仿宋_GB2312" w:eastAsia="仿宋_GB2312"/>
              </w:rPr>
              <w:t>（4)其它与地热中央空调运行的相关设备。</w:t>
            </w:r>
          </w:p>
          <w:p>
            <w:pPr>
              <w:pStyle w:val="null3"/>
            </w:pPr>
            <w:r>
              <w:rPr>
                <w:rFonts w:ascii="仿宋_GB2312" w:hAnsi="仿宋_GB2312" w:cs="仿宋_GB2312" w:eastAsia="仿宋_GB2312"/>
              </w:rPr>
              <w:t>1.2.采购人的权利</w:t>
            </w:r>
          </w:p>
          <w:p>
            <w:pPr>
              <w:pStyle w:val="null3"/>
            </w:pPr>
            <w:r>
              <w:rPr>
                <w:rFonts w:ascii="仿宋_GB2312" w:hAnsi="仿宋_GB2312" w:cs="仿宋_GB2312" w:eastAsia="仿宋_GB2312"/>
              </w:rPr>
              <w:t>督促监督成交人按照合同约定保障系统正常运行，有权利对成交人的维修过程进行监督检查，有权要求成交人对运行出现故障及时进行维修。</w:t>
            </w:r>
          </w:p>
          <w:p>
            <w:pPr>
              <w:pStyle w:val="null3"/>
            </w:pPr>
            <w:r>
              <w:rPr>
                <w:rFonts w:ascii="仿宋_GB2312" w:hAnsi="仿宋_GB2312" w:cs="仿宋_GB2312" w:eastAsia="仿宋_GB2312"/>
              </w:rPr>
              <w:t>1.3.成交人的义务</w:t>
            </w:r>
          </w:p>
          <w:p>
            <w:pPr>
              <w:pStyle w:val="null3"/>
            </w:pPr>
            <w:r>
              <w:rPr>
                <w:rFonts w:ascii="仿宋_GB2312" w:hAnsi="仿宋_GB2312" w:cs="仿宋_GB2312" w:eastAsia="仿宋_GB2312"/>
              </w:rPr>
              <w:t>(1)承包期的人身安全由成交人全权负责，一切安全事故由成交人承担，维修保养人员的工资、养老保险、工伤意外保险、劳保福利及其他一切费用，由成交人全权承担，成交人应派经培训的专业人员(持证上岗)对该空调系统检查、维修、更换、保养等服务，在设备运行时每日定时巡查并做好运行日志，保障采购人中央空调系统设备完好，运行正常。遇到采购人重大活动时，派人驻现场值守。</w:t>
            </w:r>
          </w:p>
          <w:p>
            <w:pPr>
              <w:pStyle w:val="null3"/>
            </w:pPr>
            <w:r>
              <w:rPr>
                <w:rFonts w:ascii="仿宋_GB2312" w:hAnsi="仿宋_GB2312" w:cs="仿宋_GB2312" w:eastAsia="仿宋_GB2312"/>
              </w:rPr>
              <w:t>随时接听采购人报修电话，接听电话后及时到达现场进行维修。</w:t>
            </w:r>
          </w:p>
          <w:p>
            <w:pPr>
              <w:pStyle w:val="null3"/>
            </w:pPr>
            <w:r>
              <w:rPr>
                <w:rFonts w:ascii="仿宋_GB2312" w:hAnsi="仿宋_GB2312" w:cs="仿宋_GB2312" w:eastAsia="仿宋_GB2312"/>
              </w:rPr>
              <w:t>（2）严格按照《地源热泵机组说明书》要求，进行检查、操作、维护、保养。确保机组和整个中央空调系统运行良好。</w:t>
            </w:r>
          </w:p>
          <w:p>
            <w:pPr>
              <w:pStyle w:val="null3"/>
            </w:pPr>
            <w:r>
              <w:rPr>
                <w:rFonts w:ascii="仿宋_GB2312" w:hAnsi="仿宋_GB2312" w:cs="仿宋_GB2312" w:eastAsia="仿宋_GB2312"/>
              </w:rPr>
              <w:t>（3）指定专人管理并按照该机“产品使用说明书”中各项规定进行规范化操作，因操作和使用不当引起的事故，其责任由成交人负责并承担相关一切费用损失。</w:t>
            </w:r>
          </w:p>
          <w:p>
            <w:pPr>
              <w:pStyle w:val="null3"/>
            </w:pPr>
            <w:r>
              <w:rPr>
                <w:rFonts w:ascii="仿宋_GB2312" w:hAnsi="仿宋_GB2312" w:cs="仿宋_GB2312" w:eastAsia="仿宋_GB2312"/>
              </w:rPr>
              <w:t>（4）完成采购人临时安排的与中央空调运行有关的工作，中央空调单个配件价值500元以上（含500元）的设施需要大修时，及时上报采购人。</w:t>
            </w:r>
          </w:p>
          <w:p>
            <w:pPr>
              <w:pStyle w:val="null3"/>
            </w:pPr>
            <w:r>
              <w:rPr>
                <w:rFonts w:ascii="仿宋_GB2312" w:hAnsi="仿宋_GB2312" w:cs="仿宋_GB2312" w:eastAsia="仿宋_GB2312"/>
              </w:rPr>
              <w:t>1.4.成交人对可能发生的易损件应存备件，并按该空调说明书要求按时更换并做书面记载，更换时通知采购人。</w:t>
            </w:r>
          </w:p>
          <w:p>
            <w:pPr>
              <w:pStyle w:val="null3"/>
            </w:pPr>
            <w:r>
              <w:rPr>
                <w:rFonts w:ascii="仿宋_GB2312" w:hAnsi="仿宋_GB2312" w:cs="仿宋_GB2312" w:eastAsia="仿宋_GB2312"/>
              </w:rPr>
              <w:t>2、水电工人员服务要求</w:t>
            </w:r>
          </w:p>
          <w:p>
            <w:pPr>
              <w:pStyle w:val="null3"/>
            </w:pPr>
            <w:r>
              <w:rPr>
                <w:rFonts w:ascii="仿宋_GB2312" w:hAnsi="仿宋_GB2312" w:cs="仿宋_GB2312" w:eastAsia="仿宋_GB2312"/>
              </w:rPr>
              <w:t>2.1.工作职责</w:t>
            </w:r>
          </w:p>
          <w:p>
            <w:pPr>
              <w:pStyle w:val="null3"/>
            </w:pPr>
            <w:r>
              <w:rPr>
                <w:rFonts w:ascii="仿宋_GB2312" w:hAnsi="仿宋_GB2312" w:cs="仿宋_GB2312" w:eastAsia="仿宋_GB2312"/>
              </w:rPr>
              <w:t>★（1）水电工属特种作业人员，须持证上岗。</w:t>
            </w:r>
          </w:p>
          <w:p>
            <w:pPr>
              <w:pStyle w:val="null3"/>
            </w:pPr>
            <w:r>
              <w:rPr>
                <w:rFonts w:ascii="仿宋_GB2312" w:hAnsi="仿宋_GB2312" w:cs="仿宋_GB2312" w:eastAsia="仿宋_GB2312"/>
              </w:rPr>
              <w:t>（2）负责对人力资源大楼水电设备进行定时巡检巡查，发现安全隐患立即维修并上报采购人。</w:t>
            </w:r>
          </w:p>
          <w:p>
            <w:pPr>
              <w:pStyle w:val="null3"/>
            </w:pPr>
            <w:r>
              <w:rPr>
                <w:rFonts w:ascii="仿宋_GB2312" w:hAnsi="仿宋_GB2312" w:cs="仿宋_GB2312" w:eastAsia="仿宋_GB2312"/>
              </w:rPr>
              <w:t>（3）每周对大楼的水路、电路以及用电、用水设施设备进行一次全面的检查，发现电源超负荷、短路、漏电、漏水等极易造成灾害的危险情况，必须立即维修处理并上报采购人，严防发生安全事故。</w:t>
            </w:r>
          </w:p>
          <w:p>
            <w:pPr>
              <w:pStyle w:val="null3"/>
            </w:pPr>
            <w:r>
              <w:rPr>
                <w:rFonts w:ascii="仿宋_GB2312" w:hAnsi="仿宋_GB2312" w:cs="仿宋_GB2312" w:eastAsia="仿宋_GB2312"/>
              </w:rPr>
              <w:t>（4）若遇采购人发现故障，采购人随时电话通知成交人，成交人须迅速到达现场处理。</w:t>
            </w:r>
          </w:p>
          <w:p>
            <w:pPr>
              <w:pStyle w:val="null3"/>
            </w:pPr>
            <w:r>
              <w:rPr>
                <w:rFonts w:ascii="仿宋_GB2312" w:hAnsi="仿宋_GB2312" w:cs="仿宋_GB2312" w:eastAsia="仿宋_GB2312"/>
              </w:rPr>
              <w:t>（5）成交人在承包期间应规范操作，并树立牢固的安全意识，在排除各种安全隐患的工作中如出现安全事故，一切责任由成交人承担。</w:t>
            </w:r>
          </w:p>
          <w:p>
            <w:pPr>
              <w:pStyle w:val="null3"/>
            </w:pPr>
            <w:r>
              <w:rPr>
                <w:rFonts w:ascii="仿宋_GB2312" w:hAnsi="仿宋_GB2312" w:cs="仿宋_GB2312" w:eastAsia="仿宋_GB2312"/>
              </w:rPr>
              <w:t>★注：项目所有人员均不得超过国家法定工作年龄，女性18-55周岁以内，男性18-55周岁以内（附相关证件），所有上岗人员须具备健康证，空调维保人员及水电工须具备相应的水电工证。（此项为重要内容，响应人不得负偏离）</w:t>
            </w:r>
          </w:p>
          <w:p>
            <w:pPr>
              <w:pStyle w:val="null3"/>
            </w:pPr>
            <w:r>
              <w:rPr>
                <w:rFonts w:ascii="仿宋_GB2312" w:hAnsi="仿宋_GB2312" w:cs="仿宋_GB2312" w:eastAsia="仿宋_GB2312"/>
              </w:rPr>
              <w:t>二、商务要求</w:t>
            </w:r>
          </w:p>
          <w:p>
            <w:pPr>
              <w:pStyle w:val="null3"/>
            </w:pPr>
            <w:r>
              <w:rPr>
                <w:rFonts w:ascii="仿宋_GB2312" w:hAnsi="仿宋_GB2312" w:cs="仿宋_GB2312" w:eastAsia="仿宋_GB2312"/>
              </w:rPr>
              <w:t>1、成交内容：本项目的采购内容及成交人的响应内容。</w:t>
            </w:r>
          </w:p>
          <w:p>
            <w:pPr>
              <w:pStyle w:val="null3"/>
            </w:pPr>
            <w:r>
              <w:rPr>
                <w:rFonts w:ascii="仿宋_GB2312" w:hAnsi="仿宋_GB2312" w:cs="仿宋_GB2312" w:eastAsia="仿宋_GB2312"/>
              </w:rPr>
              <w:t>2、服务地点：采购人指定地点。</w:t>
            </w:r>
          </w:p>
          <w:p>
            <w:pPr>
              <w:pStyle w:val="null3"/>
            </w:pPr>
            <w:r>
              <w:rPr>
                <w:rFonts w:ascii="仿宋_GB2312" w:hAnsi="仿宋_GB2312" w:cs="仿宋_GB2312" w:eastAsia="仿宋_GB2312"/>
              </w:rPr>
              <w:t>3、服务周期：自合同签订之日起三年（合同一年一签，每年考核一次，依据考核结果决定是否续签下一年服务合同，总服务期不超过三年）。</w:t>
            </w:r>
          </w:p>
          <w:p>
            <w:pPr>
              <w:pStyle w:val="null3"/>
            </w:pPr>
            <w:r>
              <w:rPr>
                <w:rFonts w:ascii="仿宋_GB2312" w:hAnsi="仿宋_GB2312" w:cs="仿宋_GB2312" w:eastAsia="仿宋_GB2312"/>
              </w:rPr>
              <w:t>4、服务范围：详见本项目竞争性磋商文件服务内容及要求。</w:t>
            </w:r>
          </w:p>
          <w:p>
            <w:pPr>
              <w:pStyle w:val="null3"/>
            </w:pPr>
            <w:r>
              <w:rPr>
                <w:rFonts w:ascii="仿宋_GB2312" w:hAnsi="仿宋_GB2312" w:cs="仿宋_GB2312" w:eastAsia="仿宋_GB2312"/>
              </w:rPr>
              <w:t>5、结算方式：</w:t>
            </w:r>
          </w:p>
          <w:p>
            <w:pPr>
              <w:pStyle w:val="null3"/>
            </w:pPr>
            <w:r>
              <w:rPr>
                <w:rFonts w:ascii="仿宋_GB2312" w:hAnsi="仿宋_GB2312" w:cs="仿宋_GB2312" w:eastAsia="仿宋_GB2312"/>
              </w:rPr>
              <w:t>5.1采购人采用银行转账形式结算。成交人要如实开具发票，不得变更开票内容，成交人开具发票出现税务争议时，成交人需承担税款、滞纳金、罚款等赔偿责任以及其他相关责任；采购人提交采购合同、验收报告、发票复印件（加盖采购单位财务章）、资金支付申请表等材料，向财政部门申请付款。</w:t>
            </w:r>
          </w:p>
          <w:p>
            <w:pPr>
              <w:pStyle w:val="null3"/>
            </w:pPr>
            <w:r>
              <w:rPr>
                <w:rFonts w:ascii="仿宋_GB2312" w:hAnsi="仿宋_GB2312" w:cs="仿宋_GB2312" w:eastAsia="仿宋_GB2312"/>
              </w:rPr>
              <w:t>5.2付款方式：成交后签合同时根据甲乙双方自行约定付款方式，以采购人要求为准；具体要求，由甲乙双方协商并在合同中进行约定。</w:t>
            </w:r>
          </w:p>
          <w:p>
            <w:pPr>
              <w:pStyle w:val="null3"/>
            </w:pPr>
            <w:r>
              <w:rPr>
                <w:rFonts w:ascii="仿宋_GB2312" w:hAnsi="仿宋_GB2312" w:cs="仿宋_GB2312" w:eastAsia="仿宋_GB2312"/>
              </w:rPr>
              <w:t>5.3本项目预算金额84.60万，为三年预算，实行一年一考核一签的合同办法，每年考核一次，考核合格者续签下一年服务合同；若考核不合格者，甲方有权解除服务合同；总服务期不超过三年；在采购人对成交供应商服务满意合格后，后续预算已落实且成交供应商也愿意续签的情况下，采购人可选择与成交供应商续签。</w:t>
            </w:r>
          </w:p>
          <w:p>
            <w:pPr>
              <w:pStyle w:val="null3"/>
            </w:pPr>
            <w:r>
              <w:rPr>
                <w:rFonts w:ascii="仿宋_GB2312" w:hAnsi="仿宋_GB2312" w:cs="仿宋_GB2312" w:eastAsia="仿宋_GB2312"/>
              </w:rPr>
              <w:t>6、考核要求</w:t>
            </w:r>
          </w:p>
          <w:p>
            <w:pPr>
              <w:pStyle w:val="null3"/>
            </w:pPr>
            <w:r>
              <w:rPr>
                <w:rFonts w:ascii="仿宋_GB2312" w:hAnsi="仿宋_GB2312" w:cs="仿宋_GB2312" w:eastAsia="仿宋_GB2312"/>
              </w:rPr>
              <w:t>6.1由采购人专门组织实施定期不定期考核，必要时邀请有关专家，共同进行考核；考核合格须交接项目实施的全部资料。考核须以采购文件、响应文件、合同、国家相应的标准、规范要求等为依据。</w:t>
            </w:r>
          </w:p>
          <w:p>
            <w:pPr>
              <w:pStyle w:val="null3"/>
            </w:pPr>
            <w:r>
              <w:rPr>
                <w:rFonts w:ascii="仿宋_GB2312" w:hAnsi="仿宋_GB2312" w:cs="仿宋_GB2312" w:eastAsia="仿宋_GB2312"/>
              </w:rPr>
              <w:t>6.2验收依据：磋商文件、响应文件、合同文本、国内相应的标准、规范。</w:t>
            </w:r>
          </w:p>
          <w:p>
            <w:pPr>
              <w:pStyle w:val="null3"/>
            </w:pPr>
            <w:r>
              <w:rPr>
                <w:rFonts w:ascii="仿宋_GB2312" w:hAnsi="仿宋_GB2312" w:cs="仿宋_GB2312" w:eastAsia="仿宋_GB2312"/>
              </w:rPr>
              <w:t>7、如遇疫情等不可抗力，采购内容等应根据实际情况再双方商定。</w:t>
            </w:r>
          </w:p>
          <w:p>
            <w:pPr>
              <w:pStyle w:val="null3"/>
            </w:pPr>
            <w:r>
              <w:rPr>
                <w:rFonts w:ascii="仿宋_GB2312" w:hAnsi="仿宋_GB2312" w:cs="仿宋_GB2312" w:eastAsia="仿宋_GB2312"/>
              </w:rPr>
              <w:t>8、参照物业服务管理的二级标准执行。</w:t>
            </w:r>
          </w:p>
          <w:p>
            <w:pPr>
              <w:pStyle w:val="null3"/>
            </w:pPr>
            <w:r>
              <w:rPr>
                <w:rFonts w:ascii="仿宋_GB2312" w:hAnsi="仿宋_GB2312" w:cs="仿宋_GB2312" w:eastAsia="仿宋_GB2312"/>
              </w:rPr>
              <w:t>9、违约责任</w:t>
            </w:r>
          </w:p>
          <w:p>
            <w:pPr>
              <w:pStyle w:val="null3"/>
            </w:pPr>
            <w:r>
              <w:rPr>
                <w:rFonts w:ascii="仿宋_GB2312" w:hAnsi="仿宋_GB2312" w:cs="仿宋_GB2312" w:eastAsia="仿宋_GB2312"/>
              </w:rPr>
              <w:t>9.1.按《按中华人民共和国合同法》中的相关条款执行。</w:t>
            </w:r>
          </w:p>
          <w:p>
            <w:pPr>
              <w:pStyle w:val="null3"/>
            </w:pPr>
            <w:r>
              <w:rPr>
                <w:rFonts w:ascii="仿宋_GB2312" w:hAnsi="仿宋_GB2312" w:cs="仿宋_GB2312" w:eastAsia="仿宋_GB2312"/>
              </w:rPr>
              <w:t>9.2.成交供应商未按合同要求提供服务或不能满足技术要求，虚假应标造成业务流程数据紊乱、业务中断等情形，采购人有权终止合同，并对其违约行为进行追究。</w:t>
            </w:r>
          </w:p>
          <w:p>
            <w:pPr>
              <w:pStyle w:val="null3"/>
            </w:pPr>
            <w:r>
              <w:rPr>
                <w:rFonts w:ascii="仿宋_GB2312" w:hAnsi="仿宋_GB2312" w:cs="仿宋_GB2312" w:eastAsia="仿宋_GB2312"/>
              </w:rPr>
              <w:t>10、其他</w:t>
            </w:r>
          </w:p>
          <w:p>
            <w:pPr>
              <w:pStyle w:val="null3"/>
            </w:pPr>
            <w:r>
              <w:rPr>
                <w:rFonts w:ascii="仿宋_GB2312" w:hAnsi="仿宋_GB2312" w:cs="仿宋_GB2312" w:eastAsia="仿宋_GB2312"/>
              </w:rPr>
              <w:t>10.1项目实施中涉及到的相关保密数据、资料、文档等按照相应相关保密规定执行，成交供应商有对资料保密的义务。不得以商业目的使用该资料或者开发和生产其他产品。成交供应商可根据需要对资料内容进行必要的修改和对数据格式进行转换，但未经许可，不得将修改、转换后的数据对外发布和提供。</w:t>
            </w:r>
          </w:p>
          <w:p>
            <w:pPr>
              <w:pStyle w:val="null3"/>
            </w:pPr>
            <w:r>
              <w:rPr>
                <w:rFonts w:ascii="仿宋_GB2312" w:hAnsi="仿宋_GB2312" w:cs="仿宋_GB2312" w:eastAsia="仿宋_GB2312"/>
              </w:rPr>
              <w:t>10.2供应商应保证所投货物产品及服务不会出现因第三方提出侵犯其专利权、商标权或其它知识产权而引发法律或经济纠纷，否则由供应商承担全部责任。任何被供应商用于未经授权的商业目的行为所造成的违约或侵权责任由供应商承但。</w:t>
            </w:r>
          </w:p>
          <w:p>
            <w:pPr>
              <w:pStyle w:val="null3"/>
            </w:pPr>
            <w:r>
              <w:rPr>
                <w:rFonts w:ascii="仿宋_GB2312" w:hAnsi="仿宋_GB2312" w:cs="仿宋_GB2312" w:eastAsia="仿宋_GB2312"/>
              </w:rPr>
              <w:t>10.3凡与本项目有关的系统定制开发内容，相关知识产权归采购人所有，未经采购人允许，中标人不得用于商业谋利。</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保安3人，保洁2人，中央空调维护及水电工2人，水电工属特种作业人员，须持证上岗。项目所有人员均不得超过国家法定工作年龄，女性18-55周岁以内，男性18-55周岁以内（附相关证件），所有上岗人员须具备健康证，空调维保人员及水电工须具备相应的水电工证。（此项为重要内容，响应人不得负偏离）</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满足项目编制要求。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南郑区人力资源和社会保障局</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遵照国家有关规定和最终合同约定执行。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履约完成后按合同约定的时间付款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遵照国家有关规定和最终合同约定执行。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汉中市政府采购供应商资格承诺函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控股管理关系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响应函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供应商为具有独立承担民事责任能力的法人或其他组织或自然人，并出具合法有效的营业执照或事业法人证书等国家规定的相关证明，自然人参与的提供其身份证明 。</w:t>
            </w:r>
          </w:p>
        </w:tc>
        <w:tc>
          <w:tcPr>
            <w:tcW w:type="dxa" w:w="1661"/>
          </w:tcPr>
          <w:p>
            <w:pPr>
              <w:pStyle w:val="null3"/>
            </w:pPr>
            <w:r>
              <w:rPr>
                <w:rFonts w:ascii="仿宋_GB2312" w:hAnsi="仿宋_GB2312" w:cs="仿宋_GB2312" w:eastAsia="仿宋_GB2312"/>
              </w:rPr>
              <w:t>营业执照等主体资格证明文件 商务应答表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法定代表人证明书及授权书</w:t>
            </w:r>
          </w:p>
        </w:tc>
        <w:tc>
          <w:tcPr>
            <w:tcW w:type="dxa" w:w="3322"/>
          </w:tcPr>
          <w:p>
            <w:pPr>
              <w:pStyle w:val="null3"/>
            </w:pPr>
            <w:r>
              <w:rPr>
                <w:rFonts w:ascii="仿宋_GB2312" w:hAnsi="仿宋_GB2312" w:cs="仿宋_GB2312" w:eastAsia="仿宋_GB2312"/>
              </w:rPr>
              <w:t>法定代表人证明书及授权书法定代表人（负责人）委托授权书法定代表人（负责人）委托代理人参加磋商活动时，应提供法定代表人（负责人）委托授权书；法定代表人（负责人）亲自参加磋商活动时，应提供法定代表人（负责人）身份证复印件。如法人的分支机构参与磋商活动的，除提供《法定代表人授权委托书》外，还须同时提供法人给分支机构出具的授权书，并加盖公章。法人只能授权一家分支机构参与磋商活动，且不能与分支机构同时参与磋商活动。</w:t>
            </w:r>
          </w:p>
        </w:tc>
        <w:tc>
          <w:tcPr>
            <w:tcW w:type="dxa" w:w="1661"/>
          </w:tcPr>
          <w:p>
            <w:pPr>
              <w:pStyle w:val="null3"/>
            </w:pPr>
            <w:r>
              <w:rPr>
                <w:rFonts w:ascii="仿宋_GB2312" w:hAnsi="仿宋_GB2312" w:cs="仿宋_GB2312" w:eastAsia="仿宋_GB2312"/>
              </w:rPr>
              <w:t>法定代表人证明书及法定代表人授权书</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tc>
        <w:tc>
          <w:tcPr>
            <w:tcW w:type="dxa" w:w="1661"/>
          </w:tcPr>
          <w:p>
            <w:pPr>
              <w:pStyle w:val="null3"/>
            </w:pPr>
            <w:r>
              <w:rPr>
                <w:rFonts w:ascii="仿宋_GB2312" w:hAnsi="仿宋_GB2312" w:cs="仿宋_GB2312" w:eastAsia="仿宋_GB2312"/>
              </w:rPr>
              <w:t>汉中市政府采购供应商资格承诺函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是否面向中、小企业</w:t>
            </w:r>
          </w:p>
        </w:tc>
        <w:tc>
          <w:tcPr>
            <w:tcW w:type="dxa" w:w="3322"/>
          </w:tcPr>
          <w:p>
            <w:pPr>
              <w:pStyle w:val="null3"/>
            </w:pPr>
            <w:r>
              <w:rPr>
                <w:rFonts w:ascii="仿宋_GB2312" w:hAnsi="仿宋_GB2312" w:cs="仿宋_GB2312" w:eastAsia="仿宋_GB2312"/>
              </w:rPr>
              <w:t>本项目为专门面向小微企业项目，响应人应为小型企业、微型企业或监狱企业或残疾人福利性单位。提供《中小企业声明函》；响应人为监狱企业的，应提供监狱企业的证明文件；响应人为残疾人福利性单位的，应提供《残疾人福利性单位声明函》（监狱企业或残疾人福利性单位视同小型、微型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本项目不接受联合体投标，供应商需提供非联合体书面声明。</w:t>
            </w:r>
          </w:p>
        </w:tc>
        <w:tc>
          <w:tcPr>
            <w:tcW w:type="dxa" w:w="1661"/>
          </w:tcPr>
          <w:p>
            <w:pPr>
              <w:pStyle w:val="null3"/>
            </w:pPr>
            <w:r>
              <w:rPr>
                <w:rFonts w:ascii="仿宋_GB2312" w:hAnsi="仿宋_GB2312" w:cs="仿宋_GB2312" w:eastAsia="仿宋_GB2312"/>
              </w:rPr>
              <w:t>非联合体投标书面声明</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商务应答表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响应文件是否按竞争性磋商文件要求签署、盖章的</w:t>
            </w:r>
          </w:p>
        </w:tc>
        <w:tc>
          <w:tcPr>
            <w:tcW w:type="dxa" w:w="3322"/>
          </w:tcPr>
          <w:p>
            <w:pPr>
              <w:pStyle w:val="null3"/>
            </w:pPr>
            <w:r>
              <w:rPr>
                <w:rFonts w:ascii="仿宋_GB2312" w:hAnsi="仿宋_GB2312" w:cs="仿宋_GB2312" w:eastAsia="仿宋_GB2312"/>
              </w:rPr>
              <w:t>响应文件应按照竞争性磋商文件要求签署、盖章</w:t>
            </w:r>
          </w:p>
        </w:tc>
        <w:tc>
          <w:tcPr>
            <w:tcW w:type="dxa" w:w="1661"/>
          </w:tcPr>
          <w:p>
            <w:pPr>
              <w:pStyle w:val="null3"/>
            </w:pPr>
            <w:r>
              <w:rPr>
                <w:rFonts w:ascii="仿宋_GB2312" w:hAnsi="仿宋_GB2312" w:cs="仿宋_GB2312" w:eastAsia="仿宋_GB2312"/>
              </w:rPr>
              <w:t>营业执照等主体资格证明文件 中小企业声明函 商务应答表 报价表 拒绝政府采购领域商业贿赂承诺书 控股管理关系 法定代表人证明书及法定代表人授权书 响应文件封面 残疾人福利性单位声明函 非联合体投标书面声明 标的清单 类似业绩表 项目整体实施方案 响应函 汉中市政府采购供应商资格承诺函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报价是否超过竞争性磋商文件中规定的预算金额或者最高限价</w:t>
            </w:r>
          </w:p>
        </w:tc>
        <w:tc>
          <w:tcPr>
            <w:tcW w:type="dxa" w:w="3322"/>
          </w:tcPr>
          <w:p>
            <w:pPr>
              <w:pStyle w:val="null3"/>
            </w:pPr>
            <w:r>
              <w:rPr>
                <w:rFonts w:ascii="仿宋_GB2312" w:hAnsi="仿宋_GB2312" w:cs="仿宋_GB2312" w:eastAsia="仿宋_GB2312"/>
              </w:rPr>
              <w:t>报价未超过竞争性磋商文件中规定的最高限价的</w:t>
            </w:r>
          </w:p>
        </w:tc>
        <w:tc>
          <w:tcPr>
            <w:tcW w:type="dxa" w:w="1661"/>
          </w:tcPr>
          <w:p>
            <w:pPr>
              <w:pStyle w:val="null3"/>
            </w:pPr>
            <w:r>
              <w:rPr>
                <w:rFonts w:ascii="仿宋_GB2312" w:hAnsi="仿宋_GB2312" w:cs="仿宋_GB2312" w:eastAsia="仿宋_GB2312"/>
              </w:rPr>
              <w:t>商务应答表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响应文件是否含有采购人不能接受的附加条件的或其他情形</w:t>
            </w:r>
          </w:p>
        </w:tc>
        <w:tc>
          <w:tcPr>
            <w:tcW w:type="dxa" w:w="3322"/>
          </w:tcPr>
          <w:p>
            <w:pPr>
              <w:pStyle w:val="null3"/>
            </w:pPr>
            <w:r>
              <w:rPr>
                <w:rFonts w:ascii="仿宋_GB2312" w:hAnsi="仿宋_GB2312" w:cs="仿宋_GB2312" w:eastAsia="仿宋_GB2312"/>
              </w:rPr>
              <w:t>响应文件未含有采购人不能接受的附加条件的或其他情形</w:t>
            </w:r>
          </w:p>
        </w:tc>
        <w:tc>
          <w:tcPr>
            <w:tcW w:type="dxa" w:w="1661"/>
          </w:tcPr>
          <w:p>
            <w:pPr>
              <w:pStyle w:val="null3"/>
            </w:pPr>
            <w:r>
              <w:rPr>
                <w:rFonts w:ascii="仿宋_GB2312" w:hAnsi="仿宋_GB2312" w:cs="仿宋_GB2312" w:eastAsia="仿宋_GB2312"/>
              </w:rPr>
              <w:t>营业执照等主体资格证明文件 中小企业声明函 商务应答表 报价表 拒绝政府采购领域商业贿赂承诺书 控股管理关系 法定代表人证明书及法定代表人授权书 响应文件封面 残疾人福利性单位声明函 非联合体投标书面声明 标的清单 类似业绩表 项目整体实施方案 响应函 汉中市政府采购供应商资格承诺函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是否发现法律、法规和竞争性磋商文件规定的其他无效情形</w:t>
            </w:r>
          </w:p>
        </w:tc>
        <w:tc>
          <w:tcPr>
            <w:tcW w:type="dxa" w:w="3322"/>
          </w:tcPr>
          <w:p>
            <w:pPr>
              <w:pStyle w:val="null3"/>
            </w:pPr>
            <w:r>
              <w:rPr>
                <w:rFonts w:ascii="仿宋_GB2312" w:hAnsi="仿宋_GB2312" w:cs="仿宋_GB2312" w:eastAsia="仿宋_GB2312"/>
              </w:rPr>
              <w:t>响应文件不存在法律、法规和竞争性磋商文件规定的其他无效情形</w:t>
            </w:r>
          </w:p>
        </w:tc>
        <w:tc>
          <w:tcPr>
            <w:tcW w:type="dxa" w:w="1661"/>
          </w:tcPr>
          <w:p>
            <w:pPr>
              <w:pStyle w:val="null3"/>
            </w:pPr>
            <w:r>
              <w:rPr>
                <w:rFonts w:ascii="仿宋_GB2312" w:hAnsi="仿宋_GB2312" w:cs="仿宋_GB2312" w:eastAsia="仿宋_GB2312"/>
              </w:rPr>
              <w:t>营业执照等主体资格证明文件 中小企业声明函 商务应答表 报价表 拒绝政府采购领域商业贿赂承诺书 控股管理关系 法定代表人证明书及法定代表人授权书 响应文件封面 残疾人福利性单位声明函 非联合体投标书面声明 标的清单 类似业绩表 项目整体实施方案 响应函 汉中市政府采购供应商资格承诺函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详细评审75.00分</w:t>
            </w:r>
          </w:p>
          <w:p>
            <w:pPr>
              <w:pStyle w:val="null3"/>
            </w:pPr>
            <w:r>
              <w:rPr>
                <w:rFonts w:ascii="仿宋_GB2312" w:hAnsi="仿宋_GB2312" w:cs="仿宋_GB2312" w:eastAsia="仿宋_GB2312"/>
              </w:rPr>
              <w:t>报价得分25.00分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根据供应商提供针对本项目的总体实施方案（内容包含：①门卫执勤及治安巡逻方面的保安服务；②保洁工作的服务管理、组织设计、服务；③ 水电工人员的管理制度、工作安排及标准等工作内容及职责）进行评审：</w:t>
            </w:r>
          </w:p>
        </w:tc>
        <w:tc>
          <w:tcPr>
            <w:tcW w:type="dxa" w:w="2492"/>
          </w:tcPr>
          <w:p>
            <w:pPr>
              <w:pStyle w:val="null3"/>
            </w:pPr>
            <w:r>
              <w:rPr>
                <w:rFonts w:ascii="仿宋_GB2312" w:hAnsi="仿宋_GB2312" w:cs="仿宋_GB2312" w:eastAsia="仿宋_GB2312"/>
              </w:rPr>
              <w:t>根据总体实施方案的完整性、内容表述清晰程度，各项内容的准确性、针对性及可操作性等角度考量，最高得12分；若上述内容存在缺陷，每出现一处缺陷扣1分，扣完为止。 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w:t>
            </w:r>
          </w:p>
        </w:tc>
      </w:tr>
      <w:tr>
        <w:tc>
          <w:tcPr>
            <w:tcW w:type="dxa" w:w="831"/>
            <w:vMerge/>
          </w:tcPr>
          <w:p/>
        </w:tc>
        <w:tc>
          <w:tcPr>
            <w:tcW w:type="dxa" w:w="1661"/>
          </w:tcPr>
          <w:p>
            <w:pPr>
              <w:pStyle w:val="null3"/>
            </w:pPr>
            <w:r>
              <w:rPr>
                <w:rFonts w:ascii="仿宋_GB2312" w:hAnsi="仿宋_GB2312" w:cs="仿宋_GB2312" w:eastAsia="仿宋_GB2312"/>
              </w:rPr>
              <w:t>根据供应商提供的拟派人员配备方案 （内容包含：人员数量的响应情况 、人员基本情况、人员工作经历、年龄等材料）进行评审：</w:t>
            </w:r>
          </w:p>
        </w:tc>
        <w:tc>
          <w:tcPr>
            <w:tcW w:type="dxa" w:w="2492"/>
          </w:tcPr>
          <w:p>
            <w:pPr>
              <w:pStyle w:val="null3"/>
            </w:pPr>
            <w:r>
              <w:rPr>
                <w:rFonts w:ascii="仿宋_GB2312" w:hAnsi="仿宋_GB2312" w:cs="仿宋_GB2312" w:eastAsia="仿宋_GB2312"/>
              </w:rPr>
              <w:t>根据拟投入人员结构是否合理，岗位职责的明确程度，是否能够满足项目使用需求及安排是否合理等角度考量，最高得8分；若上述内容存在缺陷，每出现一处缺陷扣1分，扣完为止。 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w:t>
            </w:r>
          </w:p>
        </w:tc>
      </w:tr>
      <w:tr>
        <w:tc>
          <w:tcPr>
            <w:tcW w:type="dxa" w:w="831"/>
            <w:vMerge/>
          </w:tcPr>
          <w:p/>
        </w:tc>
        <w:tc>
          <w:tcPr>
            <w:tcW w:type="dxa" w:w="1661"/>
          </w:tcPr>
          <w:p>
            <w:pPr>
              <w:pStyle w:val="null3"/>
            </w:pPr>
            <w:r>
              <w:rPr>
                <w:rFonts w:ascii="仿宋_GB2312" w:hAnsi="仿宋_GB2312" w:cs="仿宋_GB2312" w:eastAsia="仿宋_GB2312"/>
              </w:rPr>
              <w:t>根据供应商提供针对本项目的服务质量承诺（内容包含：1.处理问题的响应时间承诺；2.协助采购人开展后续相关服务工作承诺；3.进度计划跟进承诺等）进行评审：</w:t>
            </w:r>
          </w:p>
        </w:tc>
        <w:tc>
          <w:tcPr>
            <w:tcW w:type="dxa" w:w="2492"/>
          </w:tcPr>
          <w:p>
            <w:pPr>
              <w:pStyle w:val="null3"/>
            </w:pPr>
            <w:r>
              <w:rPr>
                <w:rFonts w:ascii="仿宋_GB2312" w:hAnsi="仿宋_GB2312" w:cs="仿宋_GB2312" w:eastAsia="仿宋_GB2312"/>
              </w:rPr>
              <w:t>1.提供服务质量承诺函得2分，格式自拟，未提供不得分；在此基础上，2.根据服务质量保证措施各项内容的准确性、针对性及可操作性等角度考量，最高得4分；若上述内容存在缺陷，每出现一处缺陷扣1分，扣完为止。 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w:t>
            </w:r>
          </w:p>
        </w:tc>
      </w:tr>
      <w:tr>
        <w:tc>
          <w:tcPr>
            <w:tcW w:type="dxa" w:w="831"/>
            <w:vMerge/>
          </w:tcPr>
          <w:p/>
        </w:tc>
        <w:tc>
          <w:tcPr>
            <w:tcW w:type="dxa" w:w="1661"/>
          </w:tcPr>
          <w:p>
            <w:pPr>
              <w:pStyle w:val="null3"/>
            </w:pPr>
            <w:r>
              <w:rPr>
                <w:rFonts w:ascii="仿宋_GB2312" w:hAnsi="仿宋_GB2312" w:cs="仿宋_GB2312" w:eastAsia="仿宋_GB2312"/>
              </w:rPr>
              <w:t>根据供应商提供针对本项目制定的进度计划方案和各阶段的实施计划表（内容包含：①提供承诺函；②项目服务期间的各阶段时间节点安排；③实施计划等） 进行评审：</w:t>
            </w:r>
          </w:p>
        </w:tc>
        <w:tc>
          <w:tcPr>
            <w:tcW w:type="dxa" w:w="2492"/>
          </w:tcPr>
          <w:p>
            <w:pPr>
              <w:pStyle w:val="null3"/>
            </w:pPr>
            <w:r>
              <w:rPr>
                <w:rFonts w:ascii="仿宋_GB2312" w:hAnsi="仿宋_GB2312" w:cs="仿宋_GB2312" w:eastAsia="仿宋_GB2312"/>
              </w:rPr>
              <w:t>1.供应商提供承诺函（切实保障本项目进度达到相关部门审批要求，承诺函中时间节点安排清楚、工作部署科学合理）得2分，格式自拟，未提供不得分；在此基础上，2.根据供应商制定进度计划方案和各阶段的实施计划表的完整性、内容表述清晰程度，各项内容的准确性、针对性及可操作性等角度考量，最高得4分；若上述内容存在缺陷，每出现一处缺陷扣1分，扣完为止。 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w:t>
            </w:r>
          </w:p>
        </w:tc>
      </w:tr>
      <w:tr>
        <w:tc>
          <w:tcPr>
            <w:tcW w:type="dxa" w:w="831"/>
            <w:vMerge/>
          </w:tcPr>
          <w:p/>
        </w:tc>
        <w:tc>
          <w:tcPr>
            <w:tcW w:type="dxa" w:w="1661"/>
          </w:tcPr>
          <w:p>
            <w:pPr>
              <w:pStyle w:val="null3"/>
            </w:pPr>
            <w:r>
              <w:rPr>
                <w:rFonts w:ascii="仿宋_GB2312" w:hAnsi="仿宋_GB2312" w:cs="仿宋_GB2312" w:eastAsia="仿宋_GB2312"/>
              </w:rPr>
              <w:t>根据供应商提供针对本项目的重点难点分析（内容包含：本次项目工作的重点、难点分析及解决方案） 进行评审：</w:t>
            </w:r>
          </w:p>
        </w:tc>
        <w:tc>
          <w:tcPr>
            <w:tcW w:type="dxa" w:w="2492"/>
          </w:tcPr>
          <w:p>
            <w:pPr>
              <w:pStyle w:val="null3"/>
            </w:pPr>
            <w:r>
              <w:rPr>
                <w:rFonts w:ascii="仿宋_GB2312" w:hAnsi="仿宋_GB2312" w:cs="仿宋_GB2312" w:eastAsia="仿宋_GB2312"/>
              </w:rPr>
              <w:t>根据项目重点难点分析的合理性、内容表述清晰程度、针对性及全面性等角度考量，最高得6分；若上述内容存在缺陷，每出现一处缺陷扣1分，扣完为止。 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w:t>
            </w:r>
          </w:p>
        </w:tc>
      </w:tr>
      <w:tr>
        <w:tc>
          <w:tcPr>
            <w:tcW w:type="dxa" w:w="831"/>
            <w:vMerge/>
          </w:tcPr>
          <w:p/>
        </w:tc>
        <w:tc>
          <w:tcPr>
            <w:tcW w:type="dxa" w:w="1661"/>
          </w:tcPr>
          <w:p>
            <w:pPr>
              <w:pStyle w:val="null3"/>
            </w:pPr>
            <w:r>
              <w:rPr>
                <w:rFonts w:ascii="仿宋_GB2312" w:hAnsi="仿宋_GB2312" w:cs="仿宋_GB2312" w:eastAsia="仿宋_GB2312"/>
              </w:rPr>
              <w:t>根据供应商提供拟投入本项目的工具仪器（包含但不限于劳保用品、 工作服装、清洁工具等，需提供配备清单）进行评审：</w:t>
            </w:r>
          </w:p>
        </w:tc>
        <w:tc>
          <w:tcPr>
            <w:tcW w:type="dxa" w:w="2492"/>
          </w:tcPr>
          <w:p>
            <w:pPr>
              <w:pStyle w:val="null3"/>
            </w:pPr>
            <w:r>
              <w:rPr>
                <w:rFonts w:ascii="仿宋_GB2312" w:hAnsi="仿宋_GB2312" w:cs="仿宋_GB2312" w:eastAsia="仿宋_GB2312"/>
              </w:rPr>
              <w:t>根据拟投入工具仪器的种类齐全性、数量是否充足，仪器仪表的先进程度、精准度以及贴合项目（提供配备清单）的程度考量，最高得6分；若上述内容存在缺陷，每出现一处缺陷扣1分，扣完为止。 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w:t>
            </w:r>
          </w:p>
        </w:tc>
      </w:tr>
      <w:tr>
        <w:tc>
          <w:tcPr>
            <w:tcW w:type="dxa" w:w="831"/>
            <w:vMerge/>
          </w:tcPr>
          <w:p/>
        </w:tc>
        <w:tc>
          <w:tcPr>
            <w:tcW w:type="dxa" w:w="1661"/>
          </w:tcPr>
          <w:p>
            <w:pPr>
              <w:pStyle w:val="null3"/>
            </w:pPr>
            <w:r>
              <w:rPr>
                <w:rFonts w:ascii="仿宋_GB2312" w:hAnsi="仿宋_GB2312" w:cs="仿宋_GB2312" w:eastAsia="仿宋_GB2312"/>
              </w:rPr>
              <w:t>根据供应商提供的培训方案（包括但不限于培训内容、培训人员、培训时长，培训次数，培训方式等）进行评审：</w:t>
            </w:r>
          </w:p>
        </w:tc>
        <w:tc>
          <w:tcPr>
            <w:tcW w:type="dxa" w:w="2492"/>
          </w:tcPr>
          <w:p>
            <w:pPr>
              <w:pStyle w:val="null3"/>
            </w:pPr>
            <w:r>
              <w:rPr>
                <w:rFonts w:ascii="仿宋_GB2312" w:hAnsi="仿宋_GB2312" w:cs="仿宋_GB2312" w:eastAsia="仿宋_GB2312"/>
              </w:rPr>
              <w:t>根据培训方案的完整性、合理性，各项内容的准确性、针对性及可操作性等角度考量，最高得6分；若上述内容存在缺陷，每出现一处缺陷扣1分，扣完为止。 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w:t>
            </w:r>
          </w:p>
        </w:tc>
      </w:tr>
      <w:tr>
        <w:tc>
          <w:tcPr>
            <w:tcW w:type="dxa" w:w="831"/>
            <w:vMerge/>
          </w:tcPr>
          <w:p/>
        </w:tc>
        <w:tc>
          <w:tcPr>
            <w:tcW w:type="dxa" w:w="1661"/>
          </w:tcPr>
          <w:p>
            <w:pPr>
              <w:pStyle w:val="null3"/>
            </w:pPr>
            <w:r>
              <w:rPr>
                <w:rFonts w:ascii="仿宋_GB2312" w:hAnsi="仿宋_GB2312" w:cs="仿宋_GB2312" w:eastAsia="仿宋_GB2312"/>
              </w:rPr>
              <w:t>根据供应商提供实施过程中可能出现的突发事件、紧急故障等方面制定突发环境事件应急预案（内容包含：①突发环境事件应急处理小组及人员分工；②突发环境事件防范；③可能突发的事件及处理；④突发事件应急措施）（供应商在所提供方案中应充分考虑本次项目的技术风险进行分析，要评估后期实施中可能发生的突发状况，并制定相应的应急预案，确保服务工作有序推进 ，对风险分析准确）进行评审：</w:t>
            </w:r>
          </w:p>
        </w:tc>
        <w:tc>
          <w:tcPr>
            <w:tcW w:type="dxa" w:w="2492"/>
          </w:tcPr>
          <w:p>
            <w:pPr>
              <w:pStyle w:val="null3"/>
            </w:pPr>
            <w:r>
              <w:rPr>
                <w:rFonts w:ascii="仿宋_GB2312" w:hAnsi="仿宋_GB2312" w:cs="仿宋_GB2312" w:eastAsia="仿宋_GB2312"/>
              </w:rPr>
              <w:t>根据突发环境事件应急预案的完整性、内容表述清晰程度，各项内容的准确性、针对性及可操作性等角度考量，最高10分；若上述内容存在缺陷，每出现一处缺陷扣1分，扣完为止。 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w:t>
            </w:r>
          </w:p>
        </w:tc>
      </w:tr>
      <w:tr>
        <w:tc>
          <w:tcPr>
            <w:tcW w:type="dxa" w:w="831"/>
            <w:vMerge/>
          </w:tcPr>
          <w:p/>
        </w:tc>
        <w:tc>
          <w:tcPr>
            <w:tcW w:type="dxa" w:w="1661"/>
          </w:tcPr>
          <w:p>
            <w:pPr>
              <w:pStyle w:val="null3"/>
            </w:pPr>
            <w:r>
              <w:rPr>
                <w:rFonts w:ascii="仿宋_GB2312" w:hAnsi="仿宋_GB2312" w:cs="仿宋_GB2312" w:eastAsia="仿宋_GB2312"/>
              </w:rPr>
              <w:t>根据供应商提供有利于本项目工作顺利进行的合理化建议进行评审：</w:t>
            </w:r>
          </w:p>
        </w:tc>
        <w:tc>
          <w:tcPr>
            <w:tcW w:type="dxa" w:w="2492"/>
          </w:tcPr>
          <w:p>
            <w:pPr>
              <w:pStyle w:val="null3"/>
            </w:pPr>
            <w:r>
              <w:rPr>
                <w:rFonts w:ascii="仿宋_GB2312" w:hAnsi="仿宋_GB2312" w:cs="仿宋_GB2312" w:eastAsia="仿宋_GB2312"/>
              </w:rPr>
              <w:t>根据合理化建议是否全面详细、表述的清晰程度、针对性等角度考量，最高得6分；若上述内容存在缺陷，每出现一处缺陷扣1分，扣完为止。 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w:t>
            </w:r>
          </w:p>
        </w:tc>
      </w:tr>
      <w:tr>
        <w:tc>
          <w:tcPr>
            <w:tcW w:type="dxa" w:w="831"/>
            <w:vMerge/>
          </w:tcPr>
          <w:p/>
        </w:tc>
        <w:tc>
          <w:tcPr>
            <w:tcW w:type="dxa" w:w="1661"/>
          </w:tcPr>
          <w:p>
            <w:pPr>
              <w:pStyle w:val="null3"/>
            </w:pPr>
            <w:r>
              <w:rPr>
                <w:rFonts w:ascii="仿宋_GB2312" w:hAnsi="仿宋_GB2312" w:cs="仿宋_GB2312" w:eastAsia="仿宋_GB2312"/>
              </w:rPr>
              <w:t>根据供应商提供针对本项目的保密承诺措施及知识产权要求（包含但不限于采购人内部接触的照片及文字材料等商业秘密）进行评审：</w:t>
            </w:r>
          </w:p>
        </w:tc>
        <w:tc>
          <w:tcPr>
            <w:tcW w:type="dxa" w:w="2492"/>
          </w:tcPr>
          <w:p>
            <w:pPr>
              <w:pStyle w:val="null3"/>
            </w:pPr>
            <w:r>
              <w:rPr>
                <w:rFonts w:ascii="仿宋_GB2312" w:hAnsi="仿宋_GB2312" w:cs="仿宋_GB2312" w:eastAsia="仿宋_GB2312"/>
              </w:rPr>
              <w:t>根据保密承诺措施及知识产权要求是否考虑周全、内容全面完善、切实可行等角度考量，最高得3分；若上述内容存在缺陷，每出现一处缺陷扣1分，扣完为止。 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提供供应商自2022年2月1日起至今完成的类似业绩证明材料，每提供一项有效合同的得2分，满分6分。注：业绩证明材料为加盖供应商公章的合同、验收报告或业主证明材料的复印件或扫描件（含首页、签字盖章页）时间以合同签订时间为准，未提供或提供不全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磋商报价采用低价优先法计算，即满足竞争性磋商文件要求且响应报价最低的报价为评审基准价，其价格分为满分。其他供应商的价格分统一按照下列公式计算：响应报价得分=（评审基准价/最终响应报价）×25</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详见附件：非联合体投标书面声明</w:t>
      </w:r>
    </w:p>
    <w:p>
      <w:pPr>
        <w:pStyle w:val="null3"/>
        <w:ind w:firstLine="960"/>
      </w:pPr>
      <w:r>
        <w:rPr>
          <w:rFonts w:ascii="仿宋_GB2312" w:hAnsi="仿宋_GB2312" w:cs="仿宋_GB2312" w:eastAsia="仿宋_GB2312"/>
        </w:rPr>
        <w:t>详见附件：类似业绩表</w:t>
      </w:r>
    </w:p>
    <w:p>
      <w:pPr>
        <w:pStyle w:val="null3"/>
        <w:ind w:firstLine="960"/>
      </w:pPr>
      <w:r>
        <w:rPr>
          <w:rFonts w:ascii="仿宋_GB2312" w:hAnsi="仿宋_GB2312" w:cs="仿宋_GB2312" w:eastAsia="仿宋_GB2312"/>
        </w:rPr>
        <w:t>详见附件：营业执照等主体资格证明文件</w:t>
      </w:r>
    </w:p>
    <w:p>
      <w:pPr>
        <w:pStyle w:val="null3"/>
        <w:ind w:firstLine="960"/>
      </w:pPr>
      <w:r>
        <w:rPr>
          <w:rFonts w:ascii="仿宋_GB2312" w:hAnsi="仿宋_GB2312" w:cs="仿宋_GB2312" w:eastAsia="仿宋_GB2312"/>
        </w:rPr>
        <w:t>详见附件：法定代表人证明书及法定代表人授权书</w:t>
      </w:r>
    </w:p>
    <w:p>
      <w:pPr>
        <w:pStyle w:val="null3"/>
        <w:ind w:firstLine="960"/>
      </w:pPr>
      <w:r>
        <w:rPr>
          <w:rFonts w:ascii="仿宋_GB2312" w:hAnsi="仿宋_GB2312" w:cs="仿宋_GB2312" w:eastAsia="仿宋_GB2312"/>
        </w:rPr>
        <w:t>详见附件：汉中市政府采购供应商资格承诺函</w:t>
      </w:r>
    </w:p>
    <w:p>
      <w:pPr>
        <w:pStyle w:val="null3"/>
        <w:ind w:firstLine="960"/>
      </w:pPr>
      <w:r>
        <w:rPr>
          <w:rFonts w:ascii="仿宋_GB2312" w:hAnsi="仿宋_GB2312" w:cs="仿宋_GB2312" w:eastAsia="仿宋_GB2312"/>
        </w:rPr>
        <w:t>详见附件：拒绝政府采购领域商业贿赂承诺书</w:t>
      </w:r>
    </w:p>
    <w:p>
      <w:pPr>
        <w:pStyle w:val="null3"/>
        <w:ind w:firstLine="960"/>
      </w:pPr>
      <w:r>
        <w:rPr>
          <w:rFonts w:ascii="仿宋_GB2312" w:hAnsi="仿宋_GB2312" w:cs="仿宋_GB2312" w:eastAsia="仿宋_GB2312"/>
        </w:rPr>
        <w:t>详见附件：控股管理关系</w:t>
      </w:r>
    </w:p>
    <w:p>
      <w:pPr>
        <w:pStyle w:val="null3"/>
        <w:ind w:firstLine="960"/>
      </w:pPr>
      <w:r>
        <w:rPr>
          <w:rFonts w:ascii="仿宋_GB2312" w:hAnsi="仿宋_GB2312" w:cs="仿宋_GB2312" w:eastAsia="仿宋_GB2312"/>
        </w:rPr>
        <w:t>详见附件：项目整体实施方案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详见附件：竞争性磋商合同文本.docx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