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版本号：SXCQ-20260203.1B220260316001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南郑区城关小学食堂劳务派遣服务企业采购(三次)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SXCQ-20260203.1B2</w:t>
      </w:r>
      <w:r>
        <w:br/>
      </w:r>
      <w:r>
        <w:br/>
      </w:r>
      <w:r>
        <w:br/>
      </w:r>
    </w:p>
    <w:p>
      <w:pPr>
        <w:pStyle w:val="null3"/>
        <w:jc w:val="center"/>
        <w:outlineLvl w:val="2"/>
      </w:pPr>
      <w:r>
        <w:rPr>
          <w:rFonts w:ascii="仿宋_GB2312" w:hAnsi="仿宋_GB2312" w:cs="仿宋_GB2312" w:eastAsia="仿宋_GB2312"/>
          <w:sz w:val="28"/>
          <w:b/>
        </w:rPr>
        <w:t>汉中市南郑区城关小学</w:t>
      </w:r>
    </w:p>
    <w:p>
      <w:pPr>
        <w:pStyle w:val="null3"/>
        <w:jc w:val="center"/>
        <w:outlineLvl w:val="2"/>
      </w:pPr>
      <w:r>
        <w:rPr>
          <w:rFonts w:ascii="仿宋_GB2312" w:hAnsi="仿宋_GB2312" w:cs="仿宋_GB2312" w:eastAsia="仿宋_GB2312"/>
          <w:sz w:val="28"/>
          <w:b/>
        </w:rPr>
        <w:t>陕西春秋工程项目管理有限公司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陕西春秋工程项目管理有限公司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汉中市南郑区城关小学</w:t>
      </w:r>
      <w:r>
        <w:rPr>
          <w:rFonts w:ascii="仿宋_GB2312" w:hAnsi="仿宋_GB2312" w:cs="仿宋_GB2312" w:eastAsia="仿宋_GB2312"/>
        </w:rPr>
        <w:t>委托，拟对</w:t>
      </w:r>
      <w:r>
        <w:rPr>
          <w:rFonts w:ascii="仿宋_GB2312" w:hAnsi="仿宋_GB2312" w:cs="仿宋_GB2312" w:eastAsia="仿宋_GB2312"/>
        </w:rPr>
        <w:t>南郑区城关小学食堂劳务派遣服务企业采购(三次)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SXCQ-20260203.1B2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南郑区城关小学食堂劳务派遣服务企业采购(三次)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汉中市南郑区城关小学现设6级43个教学班，有学生1864名，教职工110人。学校食堂目前供应早、午2餐，早餐供应约1500人，午餐供应1864人；根据上级相关规定应配备食堂炊工人员共计24名（含主厨、帮厨、管理人员）</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采购包1（南郑区城关小学食堂劳务派遣服务企业采购）：属于专门面向中小企业采购。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2、授权委托：法定代表人授权委托书：法定代表人参加招标的，须提供法定代表人证明书，并与营业执照上信息一致；被授权代表参加的，须出具法定代表人授权书和被授权人身份证复印件</w:t>
      </w:r>
    </w:p>
    <w:p>
      <w:pPr>
        <w:pStyle w:val="null3"/>
      </w:pPr>
      <w:r>
        <w:rPr>
          <w:rFonts w:ascii="仿宋_GB2312" w:hAnsi="仿宋_GB2312" w:cs="仿宋_GB2312" w:eastAsia="仿宋_GB2312"/>
        </w:rPr>
        <w:t>3、承诺函：《汉中市政府采购供应商资格承诺函》</w:t>
      </w:r>
    </w:p>
    <w:p>
      <w:pPr>
        <w:pStyle w:val="null3"/>
      </w:pPr>
      <w:r>
        <w:rPr>
          <w:rFonts w:ascii="仿宋_GB2312" w:hAnsi="仿宋_GB2312" w:cs="仿宋_GB2312" w:eastAsia="仿宋_GB2312"/>
        </w:rPr>
        <w:t>4、声明函：中小企业声明函</w:t>
      </w:r>
    </w:p>
    <w:p>
      <w:pPr>
        <w:pStyle w:val="null3"/>
      </w:pPr>
      <w:r>
        <w:rPr>
          <w:rFonts w:ascii="仿宋_GB2312" w:hAnsi="仿宋_GB2312" w:cs="仿宋_GB2312" w:eastAsia="仿宋_GB2312"/>
        </w:rPr>
        <w:t>5、资格条件：须提供有效期内的劳务派遣经营许可证</w:t>
      </w:r>
    </w:p>
    <w:p>
      <w:pPr>
        <w:pStyle w:val="null3"/>
      </w:pPr>
      <w:r>
        <w:rPr>
          <w:rFonts w:ascii="仿宋_GB2312" w:hAnsi="仿宋_GB2312" w:cs="仿宋_GB2312" w:eastAsia="仿宋_GB2312"/>
        </w:rPr>
        <w:t>6、《非联合体投标书面声明》：本项目不接受联合体响应，不允许分包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汉中市南郑区城关小学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陕西省汉中市南郑区汉山街道办南大街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南郑县城关小学经办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13709165358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陕西春秋工程项目管理有限公司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汉中市南郑区西大街14号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林俊成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18700645682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采购包1：760,800.00元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开户名称：陕西春秋工程项目管理有限公司</w:t>
            </w:r>
          </w:p>
          <w:p>
            <w:pPr>
              <w:pStyle w:val="null3"/>
            </w:pPr>
            <w:r>
              <w:rPr>
                <w:rFonts w:ascii="仿宋_GB2312" w:hAnsi="仿宋_GB2312" w:cs="仿宋_GB2312" w:eastAsia="仿宋_GB2312"/>
              </w:rPr>
              <w:t>开户银行：中国银行南郑支行</w:t>
            </w:r>
          </w:p>
          <w:p>
            <w:pPr>
              <w:pStyle w:val="null3"/>
            </w:pPr>
            <w:r>
              <w:rPr>
                <w:rFonts w:ascii="仿宋_GB2312" w:hAnsi="仿宋_GB2312" w:cs="仿宋_GB2312" w:eastAsia="仿宋_GB2312"/>
              </w:rPr>
              <w:t>银行账号：103673580835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参考国家计委关于印发招标代理服务收费管理暂行办法的通知》（计价格〔2002〕1980号）和国家发改委办公厅《关于招标代理服务收费有关问题的通知》（发改办价格〔2003〕857号）文件规定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汉中市南郑区城关小学</w:t>
      </w:r>
      <w:r>
        <w:rPr>
          <w:rFonts w:ascii="仿宋_GB2312" w:hAnsi="仿宋_GB2312" w:cs="仿宋_GB2312" w:eastAsia="仿宋_GB2312"/>
        </w:rPr>
        <w:t>和</w:t>
      </w:r>
      <w:r>
        <w:rPr>
          <w:rFonts w:ascii="仿宋_GB2312" w:hAnsi="仿宋_GB2312" w:cs="仿宋_GB2312" w:eastAsia="仿宋_GB2312"/>
        </w:rPr>
        <w:t>陕西春秋工程项目管理有限公司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汉中市南郑区城关小学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陕西春秋工程项目管理有限公司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汉中市南郑区城关小学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陕西春秋工程项目管理有限公司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陕西春秋工程项目管理有限公司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陕西春秋工程项目管理有限公司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陕西春秋工程项目管理有限公司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联系人：林俊成</w:t>
      </w:r>
    </w:p>
    <w:p>
      <w:pPr>
        <w:pStyle w:val="null3"/>
      </w:pPr>
      <w:r>
        <w:rPr>
          <w:rFonts w:ascii="仿宋_GB2312" w:hAnsi="仿宋_GB2312" w:cs="仿宋_GB2312" w:eastAsia="仿宋_GB2312"/>
        </w:rPr>
        <w:t>联系电话：18700645682</w:t>
      </w:r>
    </w:p>
    <w:p>
      <w:pPr>
        <w:pStyle w:val="null3"/>
      </w:pPr>
      <w:r>
        <w:rPr>
          <w:rFonts w:ascii="仿宋_GB2312" w:hAnsi="仿宋_GB2312" w:cs="仿宋_GB2312" w:eastAsia="仿宋_GB2312"/>
        </w:rPr>
        <w:t>地址：汉中市南郑区西大街14号轻工局3楼</w:t>
      </w:r>
    </w:p>
    <w:p>
      <w:pPr>
        <w:pStyle w:val="null3"/>
      </w:pPr>
      <w:r>
        <w:rPr>
          <w:rFonts w:ascii="仿宋_GB2312" w:hAnsi="仿宋_GB2312" w:cs="仿宋_GB2312" w:eastAsia="仿宋_GB2312"/>
        </w:rPr>
        <w:t>邮编：723100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汉中市南郑区城关小学现设6级43个教学班，有学生1864名，教职工110人。学校食堂目前供应早、午2餐，早餐供应约1500人，午餐供应1864人。根据工作需要，现拟向社会公开招标采购2026年食堂劳务派遣企业。根据上级相关规定应配备食堂炊工人员共计24名（含主厨、帮厨），食堂劳务费所需经费为当年财政下达的食堂从业人员劳务费专项资金</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760,800.00</w:t>
      </w:r>
    </w:p>
    <w:p>
      <w:pPr>
        <w:pStyle w:val="null3"/>
      </w:pPr>
      <w:r>
        <w:rPr>
          <w:rFonts w:ascii="仿宋_GB2312" w:hAnsi="仿宋_GB2312" w:cs="仿宋_GB2312" w:eastAsia="仿宋_GB2312"/>
        </w:rPr>
        <w:t>采购包最高限价（元）: 760,800.00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760800</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760,800.00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标的名称：760800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04"/>
              <w:gridCol w:w="515"/>
              <w:gridCol w:w="1501"/>
              <w:gridCol w:w="319"/>
            </w:tblGrid>
            <w:tr>
              <w:tc>
                <w:tcPr>
                  <w:tcW w:type="dxa" w:w="2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jc w:val="center"/>
                  </w:pPr>
                  <w:r>
                    <w:rPr>
                      <w:rFonts w:ascii="仿宋_GB2312" w:hAnsi="仿宋_GB2312" w:cs="仿宋_GB2312" w:eastAsia="仿宋_GB2312"/>
                      <w:sz w:val="28"/>
                      <w:b/>
                      <w:color w:val="000000"/>
                    </w:rPr>
                    <w:t>序号</w:t>
                  </w:r>
                </w:p>
              </w:tc>
              <w:tc>
                <w:tcPr>
                  <w:tcW w:type="dxa" w:w="5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ind w:left="405" w:right="120"/>
                    <w:jc w:val="center"/>
                  </w:pPr>
                  <w:r>
                    <w:rPr>
                      <w:rFonts w:ascii="仿宋_GB2312" w:hAnsi="仿宋_GB2312" w:cs="仿宋_GB2312" w:eastAsia="仿宋_GB2312"/>
                      <w:sz w:val="28"/>
                      <w:b/>
                      <w:color w:val="000000"/>
                    </w:rPr>
                    <w:t>服</w:t>
                  </w:r>
                  <w:r>
                    <w:rPr>
                      <w:rFonts w:ascii="仿宋_GB2312" w:hAnsi="仿宋_GB2312" w:cs="仿宋_GB2312" w:eastAsia="仿宋_GB2312"/>
                      <w:sz w:val="28"/>
                      <w:b/>
                      <w:color w:val="000000"/>
                    </w:rPr>
                    <w:t>务名称</w:t>
                  </w:r>
                </w:p>
              </w:tc>
              <w:tc>
                <w:tcPr>
                  <w:tcW w:type="dxa" w:w="15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jc w:val="center"/>
                  </w:pPr>
                  <w:r>
                    <w:rPr>
                      <w:rFonts w:ascii="仿宋_GB2312" w:hAnsi="仿宋_GB2312" w:cs="仿宋_GB2312" w:eastAsia="仿宋_GB2312"/>
                      <w:sz w:val="28"/>
                      <w:b/>
                      <w:color w:val="000000"/>
                    </w:rPr>
                    <w:t>服务内容</w:t>
                  </w:r>
                </w:p>
              </w:tc>
              <w:tc>
                <w:tcPr>
                  <w:tcW w:type="dxa" w:w="3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数量</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85"/>
                    <w:jc w:val="center"/>
                  </w:pPr>
                  <w:r>
                    <w:rPr>
                      <w:rFonts w:ascii="仿宋_GB2312" w:hAnsi="仿宋_GB2312" w:cs="仿宋_GB2312" w:eastAsia="仿宋_GB2312"/>
                      <w:sz w:val="28"/>
                      <w:b/>
                      <w:color w:val="000000"/>
                    </w:rPr>
                    <w:t>1</w:t>
                  </w:r>
                </w:p>
              </w:tc>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85"/>
                    <w:jc w:val="center"/>
                  </w:pPr>
                  <w:r>
                    <w:rPr>
                      <w:rFonts w:ascii="仿宋_GB2312" w:hAnsi="仿宋_GB2312" w:cs="仿宋_GB2312" w:eastAsia="仿宋_GB2312"/>
                      <w:sz w:val="28"/>
                      <w:b/>
                      <w:color w:val="000000"/>
                    </w:rPr>
                    <w:t>大厨</w:t>
                  </w:r>
                </w:p>
              </w:tc>
              <w:tc>
                <w:tcPr>
                  <w:tcW w:type="dxa" w:w="1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85"/>
                    <w:jc w:val="left"/>
                  </w:pPr>
                  <w:r>
                    <w:rPr>
                      <w:rFonts w:ascii="仿宋_GB2312" w:hAnsi="仿宋_GB2312" w:cs="仿宋_GB2312" w:eastAsia="仿宋_GB2312"/>
                      <w:sz w:val="28"/>
                      <w:color w:val="000000"/>
                    </w:rPr>
                    <w:t>负责</w:t>
                  </w:r>
                  <w:r>
                    <w:rPr>
                      <w:rFonts w:ascii="仿宋_GB2312" w:hAnsi="仿宋_GB2312" w:cs="仿宋_GB2312" w:eastAsia="仿宋_GB2312"/>
                      <w:sz w:val="28"/>
                      <w:color w:val="000000"/>
                    </w:rPr>
                    <w:t>学校餐</w:t>
                  </w:r>
                  <w:r>
                    <w:rPr>
                      <w:rFonts w:ascii="仿宋_GB2312" w:hAnsi="仿宋_GB2312" w:cs="仿宋_GB2312" w:eastAsia="仿宋_GB2312"/>
                      <w:sz w:val="28"/>
                      <w:color w:val="000000"/>
                    </w:rPr>
                    <w:t>厅食谱制定</w:t>
                  </w:r>
                  <w:r>
                    <w:rPr>
                      <w:rFonts w:ascii="仿宋_GB2312" w:hAnsi="仿宋_GB2312" w:cs="仿宋_GB2312" w:eastAsia="仿宋_GB2312"/>
                      <w:sz w:val="28"/>
                      <w:color w:val="000000"/>
                    </w:rPr>
                    <w:t>及用</w:t>
                  </w:r>
                  <w:r>
                    <w:rPr>
                      <w:rFonts w:ascii="仿宋_GB2312" w:hAnsi="仿宋_GB2312" w:cs="仿宋_GB2312" w:eastAsia="仿宋_GB2312"/>
                      <w:sz w:val="28"/>
                      <w:color w:val="000000"/>
                    </w:rPr>
                    <w:t>餐制作</w:t>
                  </w:r>
                  <w:r>
                    <w:rPr>
                      <w:rFonts w:ascii="仿宋_GB2312" w:hAnsi="仿宋_GB2312" w:cs="仿宋_GB2312" w:eastAsia="仿宋_GB2312"/>
                      <w:sz w:val="28"/>
                      <w:color w:val="000000"/>
                    </w:rPr>
                    <w:t>；</w:t>
                  </w:r>
                  <w:r>
                    <w:rPr>
                      <w:rFonts w:ascii="仿宋_GB2312" w:hAnsi="仿宋_GB2312" w:cs="仿宋_GB2312" w:eastAsia="仿宋_GB2312"/>
                      <w:sz w:val="28"/>
                      <w:color w:val="000000"/>
                    </w:rPr>
                    <w:t>具备熟练的烹饪技能，有</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3</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年以上餐饮</w:t>
                  </w:r>
                  <w:r>
                    <w:rPr>
                      <w:rFonts w:ascii="仿宋_GB2312" w:hAnsi="仿宋_GB2312" w:cs="仿宋_GB2312" w:eastAsia="仿宋_GB2312"/>
                      <w:sz w:val="28"/>
                      <w:color w:val="000000"/>
                    </w:rPr>
                    <w:t>管理</w:t>
                  </w:r>
                  <w:r>
                    <w:rPr>
                      <w:rFonts w:ascii="仿宋_GB2312" w:hAnsi="仿宋_GB2312" w:cs="仿宋_GB2312" w:eastAsia="仿宋_GB2312"/>
                      <w:sz w:val="28"/>
                      <w:color w:val="000000"/>
                    </w:rPr>
                    <w:t>工作经验。</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85"/>
                    <w:jc w:val="center"/>
                  </w:pPr>
                  <w:r>
                    <w:rPr>
                      <w:rFonts w:ascii="仿宋_GB2312" w:hAnsi="仿宋_GB2312" w:cs="仿宋_GB2312" w:eastAsia="仿宋_GB2312"/>
                      <w:sz w:val="28"/>
                      <w:b/>
                      <w:color w:val="000000"/>
                      <w:shd w:fill="F0F3FF" w:val="clear"/>
                    </w:rPr>
                    <w:t>≦</w:t>
                  </w:r>
                  <w:r>
                    <w:rPr>
                      <w:rFonts w:ascii="仿宋_GB2312" w:hAnsi="仿宋_GB2312" w:cs="仿宋_GB2312" w:eastAsia="仿宋_GB2312"/>
                      <w:sz w:val="28"/>
                      <w:b/>
                      <w:color w:val="000000"/>
                      <w:shd w:fill="F0F3FF" w:val="clear"/>
                    </w:rPr>
                    <w:t>2人</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85"/>
                    <w:jc w:val="center"/>
                  </w:pPr>
                  <w:r>
                    <w:rPr>
                      <w:rFonts w:ascii="仿宋_GB2312" w:hAnsi="仿宋_GB2312" w:cs="仿宋_GB2312" w:eastAsia="仿宋_GB2312"/>
                      <w:sz w:val="28"/>
                      <w:b/>
                      <w:color w:val="000000"/>
                    </w:rPr>
                    <w:t>2</w:t>
                  </w:r>
                </w:p>
              </w:tc>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85"/>
                    <w:jc w:val="center"/>
                  </w:pPr>
                  <w:r>
                    <w:rPr>
                      <w:rFonts w:ascii="仿宋_GB2312" w:hAnsi="仿宋_GB2312" w:cs="仿宋_GB2312" w:eastAsia="仿宋_GB2312"/>
                      <w:sz w:val="28"/>
                      <w:b/>
                      <w:color w:val="000000"/>
                    </w:rPr>
                    <w:t>帮厨</w:t>
                  </w:r>
                </w:p>
              </w:tc>
              <w:tc>
                <w:tcPr>
                  <w:tcW w:type="dxa" w:w="1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85"/>
                    <w:jc w:val="center"/>
                  </w:pPr>
                  <w:r>
                    <w:rPr>
                      <w:rFonts w:ascii="仿宋_GB2312" w:hAnsi="仿宋_GB2312" w:cs="仿宋_GB2312" w:eastAsia="仿宋_GB2312"/>
                      <w:sz w:val="28"/>
                      <w:color w:val="000000"/>
                    </w:rPr>
                    <w:t>负责食材初加工及切配售</w:t>
                  </w:r>
                  <w:r>
                    <w:rPr>
                      <w:rFonts w:ascii="仿宋_GB2312" w:hAnsi="仿宋_GB2312" w:cs="仿宋_GB2312" w:eastAsia="仿宋_GB2312"/>
                      <w:sz w:val="28"/>
                      <w:color w:val="000000"/>
                    </w:rPr>
                    <w:t>、</w:t>
                  </w:r>
                  <w:r>
                    <w:rPr>
                      <w:rFonts w:ascii="仿宋_GB2312" w:hAnsi="仿宋_GB2312" w:cs="仿宋_GB2312" w:eastAsia="仿宋_GB2312"/>
                      <w:sz w:val="28"/>
                      <w:color w:val="000000"/>
                    </w:rPr>
                    <w:t>餐厅卫生保洁</w:t>
                  </w:r>
                  <w:r>
                    <w:rPr>
                      <w:rFonts w:ascii="仿宋_GB2312" w:hAnsi="仿宋_GB2312" w:cs="仿宋_GB2312" w:eastAsia="仿宋_GB2312"/>
                      <w:sz w:val="28"/>
                      <w:color w:val="000000"/>
                    </w:rPr>
                    <w:t>、餐具洗消</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85"/>
                    <w:jc w:val="center"/>
                  </w:pPr>
                  <w:r>
                    <w:rPr>
                      <w:rFonts w:ascii="仿宋_GB2312" w:hAnsi="仿宋_GB2312" w:cs="仿宋_GB2312" w:eastAsia="仿宋_GB2312"/>
                      <w:sz w:val="28"/>
                      <w:b/>
                      <w:color w:val="000000"/>
                      <w:shd w:fill="F0F3FF" w:val="clear"/>
                    </w:rPr>
                    <w:t>≦</w:t>
                  </w:r>
                  <w:r>
                    <w:rPr>
                      <w:rFonts w:ascii="仿宋_GB2312" w:hAnsi="仿宋_GB2312" w:cs="仿宋_GB2312" w:eastAsia="仿宋_GB2312"/>
                      <w:sz w:val="28"/>
                      <w:b/>
                      <w:color w:val="000000"/>
                    </w:rPr>
                    <w:t>21人</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85"/>
                    <w:jc w:val="center"/>
                  </w:pPr>
                  <w:r>
                    <w:rPr>
                      <w:rFonts w:ascii="仿宋_GB2312" w:hAnsi="仿宋_GB2312" w:cs="仿宋_GB2312" w:eastAsia="仿宋_GB2312"/>
                      <w:sz w:val="28"/>
                      <w:b/>
                      <w:color w:val="000000"/>
                    </w:rPr>
                    <w:t>3</w:t>
                  </w:r>
                </w:p>
              </w:tc>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85"/>
                    <w:jc w:val="center"/>
                  </w:pPr>
                  <w:r>
                    <w:rPr>
                      <w:rFonts w:ascii="仿宋_GB2312" w:hAnsi="仿宋_GB2312" w:cs="仿宋_GB2312" w:eastAsia="仿宋_GB2312"/>
                      <w:sz w:val="28"/>
                      <w:b/>
                      <w:color w:val="000000"/>
                    </w:rPr>
                    <w:t>管理人员</w:t>
                  </w:r>
                </w:p>
              </w:tc>
              <w:tc>
                <w:tcPr>
                  <w:tcW w:type="dxa" w:w="1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85"/>
                    <w:jc w:val="center"/>
                  </w:pPr>
                  <w:r>
                    <w:rPr>
                      <w:rFonts w:ascii="仿宋_GB2312" w:hAnsi="仿宋_GB2312" w:cs="仿宋_GB2312" w:eastAsia="仿宋_GB2312"/>
                      <w:sz w:val="28"/>
                      <w:color w:val="000000"/>
                    </w:rPr>
                    <w:t>负责餐厅及后厨</w:t>
                  </w:r>
                  <w:r>
                    <w:rPr>
                      <w:rFonts w:ascii="仿宋_GB2312" w:hAnsi="仿宋_GB2312" w:cs="仿宋_GB2312" w:eastAsia="仿宋_GB2312"/>
                      <w:sz w:val="28"/>
                      <w:color w:val="000000"/>
                    </w:rPr>
                    <w:t>日常</w:t>
                  </w:r>
                  <w:r>
                    <w:rPr>
                      <w:rFonts w:ascii="仿宋_GB2312" w:hAnsi="仿宋_GB2312" w:cs="仿宋_GB2312" w:eastAsia="仿宋_GB2312"/>
                      <w:sz w:val="28"/>
                      <w:color w:val="000000"/>
                    </w:rPr>
                    <w:t>管理</w:t>
                  </w:r>
                  <w:r>
                    <w:rPr>
                      <w:rFonts w:ascii="仿宋_GB2312" w:hAnsi="仿宋_GB2312" w:cs="仿宋_GB2312" w:eastAsia="仿宋_GB2312"/>
                      <w:sz w:val="28"/>
                      <w:color w:val="000000"/>
                    </w:rPr>
                    <w:t>工作</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85"/>
                    <w:jc w:val="center"/>
                  </w:pPr>
                  <w:r>
                    <w:rPr>
                      <w:rFonts w:ascii="仿宋_GB2312" w:hAnsi="仿宋_GB2312" w:cs="仿宋_GB2312" w:eastAsia="仿宋_GB2312"/>
                      <w:sz w:val="28"/>
                      <w:b/>
                      <w:color w:val="000000"/>
                      <w:shd w:fill="F0F3FF" w:val="clear"/>
                    </w:rPr>
                    <w:t>1人</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1.人员招聘与配置 供应商应按照各学校食堂岗位需求，在规定时间内完成人员招聘工作。招聘人员应符合以下条件： （1）遵守国家法律法规，所有招聘人员需经过严格的背景审查，无违法犯罪记录。 （2）年龄：男性18-60周岁，女性18-55周岁，身体健康，无传染病及不能从事餐饮服务的疾病病史，并在入职前取得有效的健康证明。 （3）严格遵守中小学幼儿园各类安全管理规定，具有良好的职业道德和服务意识，严格履行岗位职责，具备一定的食堂工作经验和处理突发事件能力。 （4）厨师：具备食堂厨师工作经验，有责任心，遵守食堂各项规章制度，熟悉各类菜品烹饪，能根据学生营养需求和口味偏好合理搭配菜品。 （5）帮厨：身体健康，吃苦耐劳，具备一定的食品加工操作技能，有相关工作经验者优先。 2.人员培训 （1）供应商应制定完善的人员培训计划，从采购方实际出发，开学前组织食堂聘用人员参加食品安全知识、烹饪技能、营养搭配、服务意识、食品安全应急演练等方面的培训，每学年不少于12学时（1学时不少于45分钟） （2）食品安全知识培训内容应符合《中小学校园食品安全和膳食经费管理工作指引》及《学校食品安全与营养健康管理规定》等文件要求，包括食品储存、加工、留样、清洗消毒等各个环节的安全操作规范，确保所有人员熟悉并严格遵守食品安全相关法规。 3.人员管理 （1）中标方需建立健全人员管理制度，对严重违反规章制度或因工作失职造成不良影响的人员，应按规定予以处罚，情节严重者解除劳动合同。 （2）每学期对人员进行健康检查，如发现患有传染性疾病等不适合从事餐饮工作的人员，应及时调整岗位或解除合同。 （3）成交人派驻工作人员发生工伤或意外事故，根据责任划分承担责任。若有违法违纪行为，依法追究个人及成交人责任。 4.服务质量标准 （1）食品安全方面：严格遵守国家食品安全法律法规，食品加工过程符合卫生标准，全面执行食品安全操作工作规范，确保食堂食品安全零事故。 （2）服务态度方面：服从学校管理、积极参加学校组织的校园食品安全及操作流程等培训；做到文明用语，保持就餐环境整洁、舒适。 （六）队伍建设与管理要求 1.内部管理：内部管理体制健全，设立食堂服务管理人员，全面负责日常队伍的规范化管理。投标人在组织、安排工作时，应符合国家法规，维护聘用人员的正当权益。 2.人员稳定：采取切实有效措施保持队伍的稳定，严格控制轮换岗比例，合同期限内每年度轮换岗人数不得超过采购合同岗位数的20%。主要管理人员更换，应提前一个月以书面形式通知用人单位，其他人员更换要提前7天告知用人单位，不得因人员变动影响学校正常供餐秩序。 3.档案管理：人员应聘、离职等管理档案规范，手续齐全，相应资料必须报采购方备案。</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标单位担负食堂聘用人员管理任务，执行食堂人员的招聘、培训、安全管理，意外伤害事故及劳务纠纷处置、监督规范实施食品加工流程，保障食堂的正常运转，为师生提供餐饮服务，维护师生和校园的餐饮安全。 2.根据工作需要，增加食堂岗位或新开展的服务项目，双方另行协商。 3.中标单位每年接受采购人考核，考核结果应用于延期、续签、竞标。 4.本项目服务期限1年，合同期满后，根据服务质量及学校需求，经双方协商可续签。</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一年（服务期限从次学期开始生效）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南郑区城关小学</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满一年后支付</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法定代表人授权委托书：法定代表人参加招标的，须提供法定代表人证明书，并与营业执照上信息一致；被授权代表参加的，须出具法定代表人授权书和被授权人身份证复印件</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《汉中市政府采购供应商资格承诺函》</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中小企业声明函</w:t>
            </w:r>
          </w:p>
        </w:tc>
        <w:tc>
          <w:tcPr>
            <w:tcW w:type="dxa" w:w="1661"/>
          </w:tcPr>
          <w:p>
            <w:pPr>
              <w:pStyle w:val="null3"/>
            </w:pPr>
            <w:r>
              <w:rPr>
                <w:rFonts w:ascii="仿宋_GB2312" w:hAnsi="仿宋_GB2312" w:cs="仿宋_GB2312" w:eastAsia="仿宋_GB2312"/>
              </w:rPr>
              <w:t>供应商应提交的相关资格证明材料.docx 中小企业声明函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资格条件</w:t>
            </w:r>
          </w:p>
        </w:tc>
        <w:tc>
          <w:tcPr>
            <w:tcW w:type="dxa" w:w="3322"/>
          </w:tcPr>
          <w:p>
            <w:pPr>
              <w:pStyle w:val="null3"/>
            </w:pPr>
            <w:r>
              <w:rPr>
                <w:rFonts w:ascii="仿宋_GB2312" w:hAnsi="仿宋_GB2312" w:cs="仿宋_GB2312" w:eastAsia="仿宋_GB2312"/>
              </w:rPr>
              <w:t>须提供有效期内的劳务派遣经营许可证</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《非联合体投标书面声明》</w:t>
            </w:r>
          </w:p>
        </w:tc>
        <w:tc>
          <w:tcPr>
            <w:tcW w:type="dxa" w:w="3322"/>
          </w:tcPr>
          <w:p>
            <w:pPr>
              <w:pStyle w:val="null3"/>
            </w:pPr>
            <w:r>
              <w:rPr>
                <w:rFonts w:ascii="仿宋_GB2312" w:hAnsi="仿宋_GB2312" w:cs="仿宋_GB2312" w:eastAsia="仿宋_GB2312"/>
              </w:rPr>
              <w:t>本项目不接受联合体响应，不允许分包</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供应商应提交的相关资格证明材料.docx 服务方案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符合第六章“投标文件”格式的规定</w:t>
            </w:r>
          </w:p>
        </w:tc>
        <w:tc>
          <w:tcPr>
            <w:tcW w:type="dxa" w:w="1661"/>
          </w:tcPr>
          <w:p>
            <w:pPr>
              <w:pStyle w:val="null3"/>
            </w:pPr>
            <w:r>
              <w:rPr>
                <w:rFonts w:ascii="仿宋_GB2312" w:hAnsi="仿宋_GB2312" w:cs="仿宋_GB2312" w:eastAsia="仿宋_GB2312"/>
              </w:rPr>
              <w:t>响应文件封面 服务内容及服务邀请应答表 供应商应提交的相关资格证明材料.docx 中小企业声明函 残疾人福利性单位声明函 商务应答表 服务方案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只能有一个有效报价，不得提交选择性报价，且报价不超过“投标人须知”前附表规定的采购预算金额。</w:t>
            </w:r>
          </w:p>
        </w:tc>
        <w:tc>
          <w:tcPr>
            <w:tcW w:type="dxa" w:w="1661"/>
          </w:tcPr>
          <w:p>
            <w:pPr>
              <w:pStyle w:val="null3"/>
            </w:pPr>
            <w:r>
              <w:rPr>
                <w:rFonts w:ascii="仿宋_GB2312" w:hAnsi="仿宋_GB2312" w:cs="仿宋_GB2312" w:eastAsia="仿宋_GB2312"/>
              </w:rPr>
              <w:t>商务应答表 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符合招标文件要求。签名是指手写签名或者加盖名章，盖章是指加盖单位印章。</w:t>
            </w:r>
          </w:p>
        </w:tc>
        <w:tc>
          <w:tcPr>
            <w:tcW w:type="dxa" w:w="1661"/>
          </w:tcPr>
          <w:p>
            <w:pPr>
              <w:pStyle w:val="null3"/>
            </w:pPr>
            <w:r>
              <w:rPr>
                <w:rFonts w:ascii="仿宋_GB2312" w:hAnsi="仿宋_GB2312" w:cs="仿宋_GB2312" w:eastAsia="仿宋_GB2312"/>
              </w:rPr>
              <w:t>响应文件封面 服务内容及服务邀请应答表 供应商应提交的相关资格证明材料.docx 中小企业声明函 残疾人福利性单位声明函 商务应答表 服务方案 标的清单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符合招标文件的规定</w:t>
            </w:r>
          </w:p>
        </w:tc>
        <w:tc>
          <w:tcPr>
            <w:tcW w:type="dxa" w:w="1661"/>
          </w:tcPr>
          <w:p>
            <w:pPr>
              <w:pStyle w:val="null3"/>
            </w:pPr>
            <w:r>
              <w:rPr>
                <w:rFonts w:ascii="仿宋_GB2312" w:hAnsi="仿宋_GB2312" w:cs="仿宋_GB2312" w:eastAsia="仿宋_GB2312"/>
              </w:rPr>
              <w:t>响应文件封面 供应商应提交的相关资格证明材料.docx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 2022年1月以来完成的同类项目合同（以合同签订日期为准），每个3分，最多计6分。提供合同复印件并加盖公章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根据供应商针对本项目提供的项目实施方案包括：①整体设想和规划，②总体监管方案，③对项目重点难点的分析，④服务质量管理方案，⑤应急处置方案，⑥餐厅环境、卫生及安全管理方案，⑦菜式出品方案，⑧食品保存管理及食品质量控制，⑨操作规程控制管理，⑩食品留样。根据投标人提供的方案进行综合评审，相应内容全面、合理且符合项目实际情况的得40分；每有一项内容缺失或存在重大缺陷或内容与本项目无关的扣4分；每有一项内容简略或针对性不强或不完全满足项目要求的扣1分，扣完为止。 注：内容简略或针对性不强或不完全满足项目要求指：方案内容不切合行业实际、不符合行业政策；或方案内容生搬硬造，与实际情况不符，存在偏差；或方案内容过于简略；或存在与项目无关的文字内容；或内容不适用项目实际情况；或内容逻辑漏洞或原理错误；或方案中内容前后不一致、前后逻辑错误、涉及的规范及标准错误；或方案中存在地点区域、项目名称错误及不符合项目实际情况的任意一种情形。</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履约能力 (组织机构设置）</w:t>
            </w:r>
          </w:p>
        </w:tc>
        <w:tc>
          <w:tcPr>
            <w:tcW w:type="dxa" w:w="2492"/>
          </w:tcPr>
          <w:p>
            <w:pPr>
              <w:pStyle w:val="null3"/>
            </w:pPr>
            <w:r>
              <w:rPr>
                <w:rFonts w:ascii="仿宋_GB2312" w:hAnsi="仿宋_GB2312" w:cs="仿宋_GB2312" w:eastAsia="仿宋_GB2312"/>
              </w:rPr>
              <w:t>根据供应商针对本项目提供的机构运作及管理制度包括：①管理机构运行图、机构设置和职能运行设置方案，②项目负责人职责、内部管理职责分工和员工绩效管理方案，③管理制度和考核制度，④人员培训计划（包含食品安全知识、烹饪技能、营养搭配、服务意识等）；根据投标人提供的方案进行综合评审，相应内容全面、合理且符合项目实际情况的得16分；每有一项内容缺失或存在重大缺陷或内容与本项目无关的扣4分；每有一项内容简略或针对性不强或不完全满足项目要求的扣1分，扣完为止。 注：内容简略或针对性不强或不完全满足项目要求指：方案内容不切合行业实际、不符合行业政策；或方案内容生搬硬造，与实际情况不符，存在偏差；或方案内容过于简略；或存在与项目无关的文字内容；或内容不适用项目实际情况；或内容逻辑漏洞或原理错误；或方案中内容前后不一致、前后逻辑错误、涉及的规范及标准错误；或方案中存在地点区域、项目名称错误及不符合项目实际情况的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履约能力（设施设备维护方案）</w:t>
            </w:r>
          </w:p>
        </w:tc>
        <w:tc>
          <w:tcPr>
            <w:tcW w:type="dxa" w:w="2492"/>
          </w:tcPr>
          <w:p>
            <w:pPr>
              <w:pStyle w:val="null3"/>
            </w:pPr>
            <w:r>
              <w:rPr>
                <w:rFonts w:ascii="仿宋_GB2312" w:hAnsi="仿宋_GB2312" w:cs="仿宋_GB2312" w:eastAsia="仿宋_GB2312"/>
              </w:rPr>
              <w:t>提供本项目设施设备维护方案，包括①厨电设备规范使用及清洁维护方案②餐具厨具清洗消毒及储存方案；根据投标人提供的方案进行综合评审，相应内容全面、合理且符合项目实际情况得6分；每有一项内容缺失或存在重大缺陷或内容与本项目无关的扣3分；每有一项内容简略或针对性不强或不完全满足项目要求的扣1分，扣完为止。 注：内容简略或针对性不强或不完全满足项目要求指：方案内容不切合行业实际、不符合行业政策；或方案内容生搬硬造，与实际情况不符，存在偏差；或方案内容过于简略；或存在与项目无关的文字内容；或内容不适用项目实际情况；或内容逻辑漏洞或原理错误；或方案中内容前后不一致、前后逻辑错误、涉及的规范及标准错误；或方案中存在地点区域、项目名称错误及不符合项目实际情况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投标人针对本项目，做出优化服务等方面的承诺（包含但不限于定期体检，购买工伤、意外等依法应购买的保险，不拖欠劳务费，聘用人员队伍稳定） 1、承诺内容科学合理、全面，可行性强、针对性强，得3分。 2、承诺内容基本合理、基本完整，得2分； 3、承诺内容稍有欠缺，有待改进，得1分。 4、承诺内容不合理、不可行、不出具不得分。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信誉</w:t>
            </w:r>
          </w:p>
        </w:tc>
        <w:tc>
          <w:tcPr>
            <w:tcW w:type="dxa" w:w="2492"/>
          </w:tcPr>
          <w:p>
            <w:pPr>
              <w:pStyle w:val="null3"/>
            </w:pPr>
            <w:r>
              <w:rPr>
                <w:rFonts w:ascii="仿宋_GB2312" w:hAnsi="仿宋_GB2312" w:cs="仿宋_GB2312" w:eastAsia="仿宋_GB2312"/>
              </w:rPr>
              <w:t>经上级主管部门备案后的劳务派遣企业（并提供相关证明材料）得9分；无证明材料不得分。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满足招标文件要求且年人均管理服务费报价最低的投标供应商报价为评标基准价，其价格分为20分。 其他各供应商的价格分按下列公式计算：评标基准价÷投标报价×20（小数点后保留两位）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详见附件：政府采购合同模板（服务）.docx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