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版本号：HXCG-2026-HZ-02-01.1B120260318001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南郑区阳春大桥荷载试验及交骏工验收项目(二次)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HXCG-2026-HZ-02-01.1B1</w:t>
      </w:r>
      <w:r>
        <w:br/>
      </w:r>
      <w:r>
        <w:br/>
      </w:r>
      <w:r>
        <w:br/>
      </w:r>
    </w:p>
    <w:p>
      <w:pPr>
        <w:pStyle w:val="null3"/>
        <w:jc w:val="center"/>
        <w:outlineLvl w:val="2"/>
      </w:pPr>
      <w:r>
        <w:rPr>
          <w:rFonts w:ascii="仿宋_GB2312" w:hAnsi="仿宋_GB2312" w:cs="仿宋_GB2312" w:eastAsia="仿宋_GB2312"/>
          <w:sz w:val="28"/>
          <w:b/>
        </w:rPr>
        <w:t>汉中市南郑区交通运输局</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汉中市南郑区交通运输局</w:t>
      </w:r>
      <w:r>
        <w:rPr>
          <w:rFonts w:ascii="仿宋_GB2312" w:hAnsi="仿宋_GB2312" w:cs="仿宋_GB2312" w:eastAsia="仿宋_GB2312"/>
        </w:rPr>
        <w:t>委托，拟对</w:t>
      </w:r>
      <w:r>
        <w:rPr>
          <w:rFonts w:ascii="仿宋_GB2312" w:hAnsi="仿宋_GB2312" w:cs="仿宋_GB2312" w:eastAsia="仿宋_GB2312"/>
        </w:rPr>
        <w:t>南郑区阳春大桥荷载试验及交骏工验收项目(二次)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HXCG-2026-HZ-02-01.1B1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南郑区阳春大桥荷载试验及交骏工验收项目(二次)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阳春大桥危桥改造工程荷载试验及交竣工验收项目，位于陕西省汉中市南郑区阳春镇，涉及柳汉路（Y008）K1+103处阳春大桥，是南郑区区域道路交通基础设施安全提升的重要民生工程。本次危桥改造及后续荷载试验、交竣工验收工作，核心目的是彻底消除桥梁结构安全隐患、恢复桥梁正常通行功能，保障过往车辆及行人通行安全，完善区域路网通行能力，助力区域道路交通基础设施提质升级，为地方经济社会发展提供交通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采购包1（南郑区阳春大桥荷载试验及交骏工验收项目）：属于专门面向中小企业采购。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有效的营业执照：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或被授权委托代理人身份：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3、企业资质要求：供应商需具备公路工程检测资质综合甲级或公路工程桥梁隧道专项试验检测资质；同时具有有效期内的检验检测机构资质认定证书（CMA计量认证证书）</w:t>
      </w:r>
    </w:p>
    <w:p>
      <w:pPr>
        <w:pStyle w:val="null3"/>
      </w:pPr>
      <w:r>
        <w:rPr>
          <w:rFonts w:ascii="仿宋_GB2312" w:hAnsi="仿宋_GB2312" w:cs="仿宋_GB2312" w:eastAsia="仿宋_GB2312"/>
        </w:rPr>
        <w:t>4、项目负责人要求：拟派项目负责人需具有主管部门颁发的相关专业检测工程师执业资格证书，且同时具有相关专业高级工程师证书；</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6、本项目不接受联合体磋商：本项目不接受联合体磋商（提供非联合体声明）。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陕西省汉中市南郑区汉山街道办东大街39号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0916-5513361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18391667661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开户名称：横信项目管理有限公司汉中分公司</w:t>
            </w:r>
          </w:p>
          <w:p>
            <w:pPr>
              <w:pStyle w:val="null3"/>
            </w:pPr>
            <w:r>
              <w:rPr>
                <w:rFonts w:ascii="仿宋_GB2312" w:hAnsi="仿宋_GB2312" w:cs="仿宋_GB2312" w:eastAsia="仿宋_GB2312"/>
              </w:rPr>
              <w:t>开户银行：中国农业银行股份有限公司汉中东一环路支行（或东大街支行）</w:t>
            </w:r>
          </w:p>
          <w:p>
            <w:pPr>
              <w:pStyle w:val="null3"/>
            </w:pPr>
            <w:r>
              <w:rPr>
                <w:rFonts w:ascii="仿宋_GB2312" w:hAnsi="仿宋_GB2312" w:cs="仿宋_GB2312" w:eastAsia="仿宋_GB2312"/>
              </w:rPr>
              <w:t>银行账号：26650401040002274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汉中市南郑区交通运输局</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所有提交成果以通过相关审查验收为准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联系电话：18391667661</w:t>
      </w:r>
    </w:p>
    <w:p>
      <w:pPr>
        <w:pStyle w:val="null3"/>
      </w:pPr>
      <w:r>
        <w:rPr>
          <w:rFonts w:ascii="仿宋_GB2312" w:hAnsi="仿宋_GB2312" w:cs="仿宋_GB2312" w:eastAsia="仿宋_GB2312"/>
        </w:rPr>
        <w:t>地址：陕西省西安市经济技术开发区首创国际城八期64栋楼307室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阳春大桥危桥改造工程荷载试验及交竣工验收项目，位于陕西省汉中市南郑区阳春镇，涉及柳汉路（Y008）K1+103处阳春大桥，是南郑区区域道路交通基础设施安全提升的重要民生工程。本次危桥改造及后续荷载试验、交竣工验收工作，核心目的是彻底消除桥梁结构安全隐患、恢复桥梁正常通行功能，保障过往车辆及行人通行安全，完善区域路网通行能力，助力区域道路交通基础设施提质升级，为地方经济社会发展提供交通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南郑区阳春大桥荷载试验及交骏工验收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标的名称：南郑区阳春大桥荷载试验及交骏工验收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jc w:val="left"/>
            </w:pPr>
            <w:r>
              <w:rPr>
                <w:rFonts w:ascii="仿宋_GB2312" w:hAnsi="仿宋_GB2312" w:cs="仿宋_GB2312" w:eastAsia="仿宋_GB2312"/>
                <w:sz w:val="24"/>
                <w:b/>
                <w:color w:val="000000"/>
              </w:rPr>
              <w:t>1、检测评定依据</w:t>
            </w:r>
          </w:p>
          <w:p>
            <w:pPr>
              <w:pStyle w:val="null3"/>
              <w:spacing w:after="165"/>
              <w:jc w:val="left"/>
            </w:pPr>
            <w:r>
              <w:rPr>
                <w:rFonts w:ascii="仿宋_GB2312" w:hAnsi="仿宋_GB2312" w:cs="仿宋_GB2312" w:eastAsia="仿宋_GB2312"/>
                <w:sz w:val="24"/>
                <w:color w:val="000000"/>
              </w:rPr>
              <w:t>1.1《公路桥涵养护规范》（JTG H11-2021）；</w:t>
            </w:r>
          </w:p>
          <w:p>
            <w:pPr>
              <w:pStyle w:val="null3"/>
              <w:spacing w:after="165"/>
              <w:jc w:val="left"/>
            </w:pPr>
            <w:r>
              <w:rPr>
                <w:rFonts w:ascii="仿宋_GB2312" w:hAnsi="仿宋_GB2312" w:cs="仿宋_GB2312" w:eastAsia="仿宋_GB2312"/>
                <w:sz w:val="24"/>
                <w:color w:val="000000"/>
              </w:rPr>
              <w:t>1.2《公路工程质量检验评定标准》（JTG F80/1-2017）；</w:t>
            </w:r>
          </w:p>
          <w:p>
            <w:pPr>
              <w:pStyle w:val="null3"/>
              <w:spacing w:after="165"/>
              <w:jc w:val="left"/>
            </w:pPr>
            <w:r>
              <w:rPr>
                <w:rFonts w:ascii="仿宋_GB2312" w:hAnsi="仿宋_GB2312" w:cs="仿宋_GB2312" w:eastAsia="仿宋_GB2312"/>
                <w:sz w:val="24"/>
                <w:color w:val="000000"/>
              </w:rPr>
              <w:t>1.3《公路桥梁技术状况评定标准》（JTG/T H21-2011）；</w:t>
            </w:r>
          </w:p>
          <w:p>
            <w:pPr>
              <w:pStyle w:val="null3"/>
              <w:spacing w:after="165"/>
              <w:jc w:val="left"/>
            </w:pPr>
            <w:r>
              <w:rPr>
                <w:rFonts w:ascii="仿宋_GB2312" w:hAnsi="仿宋_GB2312" w:cs="仿宋_GB2312" w:eastAsia="仿宋_GB2312"/>
                <w:sz w:val="24"/>
                <w:color w:val="000000"/>
              </w:rPr>
              <w:t>1.4《公路桥梁承载能力检测评定规程》(JTG/T J21-2011)；</w:t>
            </w:r>
          </w:p>
          <w:p>
            <w:pPr>
              <w:pStyle w:val="null3"/>
              <w:spacing w:after="165"/>
              <w:jc w:val="left"/>
            </w:pPr>
            <w:r>
              <w:rPr>
                <w:rFonts w:ascii="仿宋_GB2312" w:hAnsi="仿宋_GB2312" w:cs="仿宋_GB2312" w:eastAsia="仿宋_GB2312"/>
                <w:sz w:val="24"/>
                <w:color w:val="000000"/>
              </w:rPr>
              <w:t>1.5《公路桥涵设计通用规范》(JTG D60-2015)；</w:t>
            </w:r>
          </w:p>
          <w:p>
            <w:pPr>
              <w:pStyle w:val="null3"/>
              <w:spacing w:after="165"/>
              <w:jc w:val="left"/>
            </w:pPr>
            <w:r>
              <w:rPr>
                <w:rFonts w:ascii="仿宋_GB2312" w:hAnsi="仿宋_GB2312" w:cs="仿宋_GB2312" w:eastAsia="仿宋_GB2312"/>
                <w:sz w:val="24"/>
                <w:color w:val="000000"/>
              </w:rPr>
              <w:t>1.6《公路钢筋混凝土及预应力混凝土桥涵设计规范》 (JTG 3362-2018)；</w:t>
            </w:r>
          </w:p>
          <w:p>
            <w:pPr>
              <w:pStyle w:val="null3"/>
              <w:spacing w:after="165"/>
              <w:jc w:val="left"/>
            </w:pPr>
            <w:r>
              <w:rPr>
                <w:rFonts w:ascii="仿宋_GB2312" w:hAnsi="仿宋_GB2312" w:cs="仿宋_GB2312" w:eastAsia="仿宋_GB2312"/>
                <w:sz w:val="24"/>
                <w:color w:val="000000"/>
              </w:rPr>
              <w:t>1.7 检测合同书。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65"/>
              <w:jc w:val="left"/>
            </w:pPr>
            <w:r>
              <w:rPr>
                <w:rFonts w:ascii="仿宋_GB2312" w:hAnsi="仿宋_GB2312" w:cs="仿宋_GB2312" w:eastAsia="仿宋_GB2312"/>
                <w:sz w:val="22"/>
              </w:rPr>
              <w:t>2.</w:t>
            </w:r>
            <w:r>
              <w:rPr>
                <w:rFonts w:ascii="仿宋_GB2312" w:hAnsi="仿宋_GB2312" w:cs="仿宋_GB2312" w:eastAsia="仿宋_GB2312"/>
                <w:sz w:val="24"/>
                <w:b/>
                <w:color w:val="000000"/>
              </w:rPr>
              <w:t>违约责任</w:t>
            </w:r>
          </w:p>
          <w:p>
            <w:pPr>
              <w:pStyle w:val="null3"/>
              <w:spacing w:after="165"/>
              <w:jc w:val="left"/>
            </w:pPr>
            <w:r>
              <w:rPr>
                <w:rFonts w:ascii="仿宋_GB2312" w:hAnsi="仿宋_GB2312" w:cs="仿宋_GB2312" w:eastAsia="仿宋_GB2312"/>
                <w:sz w:val="24"/>
                <w:color w:val="000000"/>
              </w:rPr>
              <w:t>2.1 按《中华人民共和国民法典》中的相关条款执行。</w:t>
            </w:r>
          </w:p>
          <w:p>
            <w:pPr>
              <w:pStyle w:val="null3"/>
              <w:spacing w:after="165"/>
              <w:jc w:val="left"/>
            </w:pPr>
            <w:r>
              <w:rPr>
                <w:rFonts w:ascii="仿宋_GB2312" w:hAnsi="仿宋_GB2312" w:cs="仿宋_GB2312" w:eastAsia="仿宋_GB2312"/>
                <w:sz w:val="24"/>
                <w:color w:val="000000"/>
              </w:rPr>
              <w:t>2.2 乙方履约延误</w:t>
            </w:r>
          </w:p>
          <w:p>
            <w:pPr>
              <w:pStyle w:val="null3"/>
              <w:spacing w:after="16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1）如乙方事先未征得甲方同意并得到甲方的谅解而单方面延迟交货，将按违约终止合同。</w:t>
            </w:r>
          </w:p>
          <w:p>
            <w:pPr>
              <w:pStyle w:val="null3"/>
              <w:spacing w:after="16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2）在履行合同过程中，如果乙方遇到可能妨碍按时提供服务的情况，应</w:t>
            </w:r>
            <w:r>
              <w:rPr>
                <w:rFonts w:ascii="仿宋_GB2312" w:hAnsi="仿宋_GB2312" w:cs="仿宋_GB2312" w:eastAsia="仿宋_GB2312"/>
                <w:sz w:val="24"/>
                <w:color w:val="000000"/>
              </w:rPr>
              <w:t>及时以书面形式将拖延的事实，可能拖延的期限和理由通知甲方。甲方在收到乙</w:t>
            </w:r>
            <w:r>
              <w:rPr>
                <w:rFonts w:ascii="仿宋_GB2312" w:hAnsi="仿宋_GB2312" w:cs="仿宋_GB2312" w:eastAsia="仿宋_GB2312"/>
                <w:sz w:val="24"/>
                <w:color w:val="000000"/>
              </w:rPr>
              <w:t>方通知后，应尽快对情况进行评价，并确定是否通过修改合同，酌情延长交货时</w:t>
            </w:r>
            <w:r>
              <w:rPr>
                <w:rFonts w:ascii="仿宋_GB2312" w:hAnsi="仿宋_GB2312" w:cs="仿宋_GB2312" w:eastAsia="仿宋_GB2312"/>
                <w:sz w:val="24"/>
                <w:color w:val="000000"/>
              </w:rPr>
              <w:t>间或对乙方加收误期赔偿金。每延误一周的赔偿费按未提供服务的服务费用的百</w:t>
            </w:r>
            <w:r>
              <w:rPr>
                <w:rFonts w:ascii="仿宋_GB2312" w:hAnsi="仿宋_GB2312" w:cs="仿宋_GB2312" w:eastAsia="仿宋_GB2312"/>
                <w:sz w:val="24"/>
                <w:color w:val="000000"/>
              </w:rPr>
              <w:t>分之零点五（</w:t>
            </w:r>
            <w:r>
              <w:rPr>
                <w:rFonts w:ascii="仿宋_GB2312" w:hAnsi="仿宋_GB2312" w:cs="仿宋_GB2312" w:eastAsia="仿宋_GB2312"/>
                <w:sz w:val="24"/>
                <w:color w:val="000000"/>
              </w:rPr>
              <w:t>0.5%）计收，直至提供服务为止。误期赔偿费的最高限额为合同价</w:t>
            </w:r>
            <w:r>
              <w:rPr>
                <w:rFonts w:ascii="仿宋_GB2312" w:hAnsi="仿宋_GB2312" w:cs="仿宋_GB2312" w:eastAsia="仿宋_GB2312"/>
                <w:sz w:val="24"/>
                <w:color w:val="000000"/>
              </w:rPr>
              <w:t>格的百分之五（</w:t>
            </w:r>
            <w:r>
              <w:rPr>
                <w:rFonts w:ascii="仿宋_GB2312" w:hAnsi="仿宋_GB2312" w:cs="仿宋_GB2312" w:eastAsia="仿宋_GB2312"/>
                <w:sz w:val="24"/>
                <w:color w:val="000000"/>
              </w:rPr>
              <w:t>5%）。一旦达到误期赔偿费的最高限额，甲方可终止合同。</w:t>
            </w:r>
          </w:p>
          <w:p>
            <w:pPr>
              <w:pStyle w:val="null3"/>
              <w:spacing w:after="16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3）违约终止合同：未按合同要求提供服务质量不能满足技术要求，甲方</w:t>
            </w:r>
            <w:r>
              <w:rPr>
                <w:rFonts w:ascii="仿宋_GB2312" w:hAnsi="仿宋_GB2312" w:cs="仿宋_GB2312" w:eastAsia="仿宋_GB2312"/>
                <w:sz w:val="24"/>
                <w:color w:val="000000"/>
              </w:rPr>
              <w:t>会同监督机构有权终止合同，对乙方违约行为进行追究，同时按政府采购法的有</w:t>
            </w:r>
            <w:r>
              <w:rPr>
                <w:rFonts w:ascii="仿宋_GB2312" w:hAnsi="仿宋_GB2312" w:cs="仿宋_GB2312" w:eastAsia="仿宋_GB2312"/>
                <w:sz w:val="24"/>
                <w:color w:val="000000"/>
              </w:rPr>
              <w:t>关规定进行相应的处罚。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numPr>
                <w:ilvl w:val="0"/>
                <w:numId w:val="1"/>
              </w:numPr>
              <w:spacing w:after="165"/>
              <w:jc w:val="left"/>
            </w:pPr>
            <w:r>
              <w:rPr>
                <w:rFonts w:ascii="仿宋_GB2312" w:hAnsi="仿宋_GB2312" w:cs="仿宋_GB2312" w:eastAsia="仿宋_GB2312"/>
                <w:sz w:val="24"/>
                <w:b/>
                <w:color w:val="000000"/>
              </w:rPr>
              <w:t>服务要求</w:t>
            </w:r>
          </w:p>
          <w:p>
            <w:pPr>
              <w:pStyle w:val="null3"/>
              <w:spacing w:after="165"/>
              <w:jc w:val="left"/>
            </w:pPr>
            <w:r>
              <w:rPr>
                <w:rFonts w:ascii="仿宋_GB2312" w:hAnsi="仿宋_GB2312" w:cs="仿宋_GB2312" w:eastAsia="仿宋_GB2312"/>
                <w:sz w:val="24"/>
                <w:color w:val="000000"/>
              </w:rPr>
              <w:t>符合相关国家规范要求，按时交付纸质版或电子版报告，具体详见合同要求。</w:t>
            </w:r>
            <w:r>
              <w:rPr>
                <w:rFonts w:ascii="仿宋_GB2312" w:hAnsi="仿宋_GB2312" w:cs="仿宋_GB2312" w:eastAsia="仿宋_GB2312"/>
                <w:sz w:val="24"/>
                <w:color w:val="000000"/>
              </w:rPr>
              <w:t>质量要求：满足国家相关法律、法规规定。</w:t>
            </w:r>
          </w:p>
          <w:p>
            <w:pPr>
              <w:pStyle w:val="null3"/>
              <w:spacing w:after="165"/>
              <w:jc w:val="left"/>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60日历天</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after="165"/>
              <w:jc w:val="left"/>
            </w:pPr>
            <w:r>
              <w:rPr>
                <w:rFonts w:ascii="仿宋_GB2312" w:hAnsi="仿宋_GB2312" w:cs="仿宋_GB2312" w:eastAsia="仿宋_GB2312"/>
                <w:sz w:val="24"/>
                <w:b/>
                <w:color w:val="000000"/>
              </w:rPr>
              <w:t>4.采购内容</w:t>
            </w:r>
          </w:p>
          <w:p>
            <w:pPr>
              <w:pStyle w:val="null3"/>
              <w:spacing w:after="165"/>
              <w:jc w:val="left"/>
            </w:pPr>
            <w:r>
              <w:rPr>
                <w:rFonts w:ascii="仿宋_GB2312" w:hAnsi="仿宋_GB2312" w:cs="仿宋_GB2312" w:eastAsia="仿宋_GB2312"/>
                <w:sz w:val="24"/>
                <w:color w:val="000000"/>
              </w:rPr>
              <w:t>1、南郑区阳春大桥危桥改造工程荷载试验及交竣工验收项目</w:t>
            </w:r>
          </w:p>
          <w:tbl>
            <w:tblPr>
              <w:tblBorders>
                <w:top w:val="none" w:color="000000" w:sz="4"/>
                <w:left w:val="none" w:color="000000" w:sz="4"/>
                <w:bottom w:val="none" w:color="000000" w:sz="4"/>
                <w:right w:val="none" w:color="000000" w:sz="4"/>
                <w:insideH w:val="none"/>
                <w:insideV w:val="none"/>
              </w:tblBorders>
            </w:tblPr>
            <w:tblGrid>
              <w:gridCol w:w="183"/>
              <w:gridCol w:w="818"/>
              <w:gridCol w:w="342"/>
              <w:gridCol w:w="409"/>
              <w:gridCol w:w="800"/>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序号</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检测项目</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数量</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单位</w:t>
                  </w:r>
                </w:p>
              </w:tc>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备注</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1</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道路交工验收（引线）</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60</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米</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包括路面工程、交安工程，外观检测，内业资料等。</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2</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单梁静载试验</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4</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片</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边跨边梁、中梁各</w:t>
                  </w:r>
                  <w:r>
                    <w:rPr>
                      <w:rFonts w:ascii="仿宋_GB2312" w:hAnsi="仿宋_GB2312" w:cs="仿宋_GB2312" w:eastAsia="仿宋_GB2312"/>
                      <w:sz w:val="24"/>
                      <w:color w:val="000000"/>
                    </w:rPr>
                    <w:t>1片</w:t>
                  </w:r>
                </w:p>
                <w:p>
                  <w:pPr>
                    <w:pStyle w:val="null3"/>
                    <w:spacing w:after="165"/>
                    <w:jc w:val="left"/>
                  </w:pPr>
                  <w:r>
                    <w:rPr>
                      <w:rFonts w:ascii="仿宋_GB2312" w:hAnsi="仿宋_GB2312" w:cs="仿宋_GB2312" w:eastAsia="仿宋_GB2312"/>
                      <w:sz w:val="24"/>
                      <w:color w:val="000000"/>
                    </w:rPr>
                    <w:t>中跨边梁、中梁各</w:t>
                  </w:r>
                  <w:r>
                    <w:rPr>
                      <w:rFonts w:ascii="仿宋_GB2312" w:hAnsi="仿宋_GB2312" w:cs="仿宋_GB2312" w:eastAsia="仿宋_GB2312"/>
                      <w:sz w:val="24"/>
                      <w:color w:val="000000"/>
                    </w:rPr>
                    <w:t>1片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3</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加固后静荷试验</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2</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跨</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抽检</w:t>
                  </w:r>
                  <w:r>
                    <w:rPr>
                      <w:rFonts w:ascii="仿宋_GB2312" w:hAnsi="仿宋_GB2312" w:cs="仿宋_GB2312" w:eastAsia="仿宋_GB2312"/>
                      <w:sz w:val="24"/>
                      <w:color w:val="000000"/>
                    </w:rPr>
                    <w:t>2跨静载荷试验。</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4</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加固后动荷试验</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7</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跨</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全桥动载荷试验。</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5</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支座检查</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126</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块</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交工验收内业资料检查</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1</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次</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桥梁交工验收质量检测</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1</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座</w:t>
                  </w:r>
                </w:p>
              </w:tc>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4"/>
                      <w:color w:val="000000"/>
                    </w:rPr>
                    <w:t>加固后的实体检测、外观病害检查、内业资料检查。</w:t>
                  </w:r>
                </w:p>
              </w:tc>
            </w:tr>
          </w:tbl>
          <w:p>
            <w:pPr>
              <w:pStyle w:val="null3"/>
              <w:spacing w:after="165"/>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numPr>
                <w:ilvl w:val="0"/>
                <w:numId w:val="1"/>
              </w:numPr>
              <w:spacing w:after="165"/>
              <w:jc w:val="left"/>
            </w:pPr>
            <w:r>
              <w:rPr>
                <w:rFonts w:ascii="仿宋_GB2312" w:hAnsi="仿宋_GB2312" w:cs="仿宋_GB2312" w:eastAsia="仿宋_GB2312"/>
                <w:sz w:val="24"/>
                <w:color w:val="000000"/>
              </w:rPr>
              <w:t>其他</w:t>
            </w:r>
          </w:p>
          <w:p>
            <w:pPr>
              <w:pStyle w:val="null3"/>
              <w:spacing w:after="165"/>
              <w:jc w:val="left"/>
            </w:pPr>
            <w:r>
              <w:rPr>
                <w:rFonts w:ascii="仿宋_GB2312" w:hAnsi="仿宋_GB2312" w:cs="仿宋_GB2312" w:eastAsia="仿宋_GB2312"/>
                <w:sz w:val="24"/>
                <w:color w:val="000000"/>
              </w:rPr>
              <w:t>5.1 成交人应在合同签订后 2 个工作日内安排人员（项目组成人员简历表</w:t>
            </w:r>
            <w:r>
              <w:rPr>
                <w:rFonts w:ascii="仿宋_GB2312" w:hAnsi="仿宋_GB2312" w:cs="仿宋_GB2312" w:eastAsia="仿宋_GB2312"/>
                <w:sz w:val="24"/>
                <w:color w:val="000000"/>
              </w:rPr>
              <w:t>所列）与采购人就项目实施等工作进行安排、部署。</w:t>
            </w:r>
          </w:p>
          <w:p>
            <w:pPr>
              <w:pStyle w:val="null3"/>
              <w:spacing w:after="165"/>
              <w:jc w:val="left"/>
            </w:pPr>
            <w:r>
              <w:rPr>
                <w:rFonts w:ascii="仿宋_GB2312" w:hAnsi="仿宋_GB2312" w:cs="仿宋_GB2312" w:eastAsia="仿宋_GB2312"/>
                <w:sz w:val="24"/>
                <w:color w:val="000000"/>
              </w:rPr>
              <w:t>5.2.若未能在项目周期内完成合同规定的义务，由此对采购人造成的延误和</w:t>
            </w:r>
            <w:r>
              <w:rPr>
                <w:rFonts w:ascii="仿宋_GB2312" w:hAnsi="仿宋_GB2312" w:cs="仿宋_GB2312" w:eastAsia="仿宋_GB2312"/>
                <w:sz w:val="24"/>
                <w:color w:val="000000"/>
              </w:rPr>
              <w:t>一切损失，由成交人承担和赔偿。</w:t>
            </w:r>
          </w:p>
          <w:p>
            <w:pPr>
              <w:pStyle w:val="null3"/>
              <w:spacing w:after="165"/>
              <w:jc w:val="left"/>
            </w:pPr>
            <w:r>
              <w:rPr>
                <w:rFonts w:ascii="仿宋_GB2312" w:hAnsi="仿宋_GB2312" w:cs="仿宋_GB2312" w:eastAsia="仿宋_GB2312"/>
                <w:sz w:val="24"/>
                <w:color w:val="000000"/>
              </w:rPr>
              <w:t>5.3 最终结算以实际完成的工作量核算，由成交供应商按技术规范规定的计</w:t>
            </w:r>
            <w:r>
              <w:rPr>
                <w:rFonts w:ascii="仿宋_GB2312" w:hAnsi="仿宋_GB2312" w:cs="仿宋_GB2312" w:eastAsia="仿宋_GB2312"/>
                <w:sz w:val="24"/>
                <w:color w:val="000000"/>
              </w:rPr>
              <w:t>量方法，以采购人认可的工程数量据实结算。总报价中已包含完成本项目所需的</w:t>
            </w:r>
            <w:r>
              <w:rPr>
                <w:rFonts w:ascii="仿宋_GB2312" w:hAnsi="仿宋_GB2312" w:cs="仿宋_GB2312" w:eastAsia="仿宋_GB2312"/>
                <w:sz w:val="24"/>
                <w:color w:val="000000"/>
              </w:rPr>
              <w:t>一切费用。在工作中出现任何遗漏，均由成交供应商免费提供，采购人将不再支</w:t>
            </w:r>
            <w:r>
              <w:rPr>
                <w:rFonts w:ascii="仿宋_GB2312" w:hAnsi="仿宋_GB2312" w:cs="仿宋_GB2312" w:eastAsia="仿宋_GB2312"/>
                <w:sz w:val="24"/>
                <w:color w:val="000000"/>
              </w:rPr>
              <w:t>付任何费用。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见详细评审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见详细评审</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项目开工后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工程完成至工程里的80%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项目检测任务完成，出具报告后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一、甲乙双方违反本协议要求，未造成事故时，依据协议约定对违约者进行处理（包 括但不限于支付违约金、停工整改、赔偿损失等）。 二、甲方违约造成的事故，甲方承担全部责任，并按规定追究有关人员责任及上报。 三、乙方违约造成的事故，乙方承担全部责任，并按规定追究有关人员责任并报告甲方；由于乙方工程质量、检修质量及购买的原材料质量导致的事故，由乙方承担全部责任。 四、甲乙双方共同违约造成的事故，按双方责任大小承担相应责任，并按规定追究有关人员责任并上报。 第五条 发生事故时，甲乙双方均有抢险救灾的义务，所发生的费用由责任方承担。 第六条 发生事故，由事故责任主体单位上报事故；经事故调查确认责任； 事故报告和调查应按照国家和上级的有关规定进行。 第七条 由于不可抗力造成协议项目施工作业事故及产生的损失，由双方各自承担相应的损失。 第八条 对乙方发生事故后弄虚作假、隐瞒不报、迟报或谎报，一经查出， 按有关规定处罚，情节严重的，取消其进入甲方市场资格。 第九条 纠纷解决的方式：本协议履行过程中发生的任何争议纠纷，双方应通过友好协商方式解决。如协商不成，按工程服务合同所约定的争议解决方式解决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5个工作日内向代理机构提供纸质版响应文件，响应文件为正本1份，副本2份、电子版1份（U盘注明单位名称）编辑目录和页码（响应文件内容须与电子交易平台上传文件内容保持完全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供应商需具备公路工程检测资质综合甲级或公路工程桥梁隧道专项试验检测资质；同时具有有效期内的检验检测机构资质认定证书（CMA计量认证证书）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拟派项目负责人需具有主管部门颁发的相关专业检测工程师执业资格证书，且同时具有相关专业高级工程师证书；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 投标供应商认为有必要补充说明的事项</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磋商保证金缴纳凭证</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项目总体方 案</w:t>
            </w:r>
          </w:p>
        </w:tc>
        <w:tc>
          <w:tcPr>
            <w:tcW w:type="dxa" w:w="2492"/>
          </w:tcPr>
          <w:p>
            <w:pPr>
              <w:pStyle w:val="null3"/>
            </w:pPr>
            <w:r>
              <w:rPr>
                <w:rFonts w:ascii="仿宋_GB2312" w:hAnsi="仿宋_GB2312" w:cs="仿宋_GB2312" w:eastAsia="仿宋_GB2312"/>
              </w:rPr>
              <w:t>一、评审内容：针对本项目制定的总体方案，包含：①项目实施方案；②项目进度安排；③检测目标方案。 二、评审标准： 1.完整性：方案必须全面，对评审内容中的各项要求有详细描述； 2.可实施性：切合本项目实际情况，提出步骤清晰、合理的方案； 3.针对性：方案能够紧扣项目实际情况，内容科学合理。 三. 赋分标准： ①-③类内容各占5分，每类按 “完整性、可实施性、针对性” 分别评1-5，累计满分15分。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1.项目总体方案</w:t>
            </w:r>
          </w:p>
        </w:tc>
      </w:tr>
      <w:tr>
        <w:tc>
          <w:tcPr>
            <w:tcW w:type="dxa" w:w="831"/>
            <w:vMerge/>
          </w:tcPr>
          <w:p/>
        </w:tc>
        <w:tc>
          <w:tcPr>
            <w:tcW w:type="dxa" w:w="1661"/>
          </w:tcPr>
          <w:p>
            <w:pPr>
              <w:pStyle w:val="null3"/>
            </w:pPr>
            <w:r>
              <w:rPr>
                <w:rFonts w:ascii="仿宋_GB2312" w:hAnsi="仿宋_GB2312" w:cs="仿宋_GB2312" w:eastAsia="仿宋_GB2312"/>
              </w:rPr>
              <w:t>本工程检测工作的重点与难点分析及对策</w:t>
            </w:r>
          </w:p>
        </w:tc>
        <w:tc>
          <w:tcPr>
            <w:tcW w:type="dxa" w:w="2492"/>
          </w:tcPr>
          <w:p>
            <w:pPr>
              <w:pStyle w:val="null3"/>
            </w:pPr>
            <w:r>
              <w:rPr>
                <w:rFonts w:ascii="仿宋_GB2312" w:hAnsi="仿宋_GB2312" w:cs="仿宋_GB2312" w:eastAsia="仿宋_GB2312"/>
              </w:rPr>
              <w:t>一、评审内容：针对本项目制定重点与难点分析及对策，包含①检测工作过程中的重点、难点理解分析。②正确识别本项目重点、关键点并逐条列出关键性技术问题解决方案。 二、评审标准： 1.完整性：方案必须全面，对评审内容中的各项要求有详细描述； 2.可实施性：切合本项目实际情况，提出步骤清晰、合理的方案； 3.针对性：方案能够紧扣项目实际情况，内容科学合理。 三. 赋分标准： ①-③类内容各占3分，每类按“完整性、可实施性、针对性” 分别评 1-3，累计满分 9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2.本工程检测工作的重点与难点分析及对策</w:t>
            </w:r>
          </w:p>
        </w:tc>
      </w:tr>
      <w:tr>
        <w:tc>
          <w:tcPr>
            <w:tcW w:type="dxa" w:w="831"/>
            <w:vMerge/>
          </w:tcPr>
          <w:p/>
        </w:tc>
        <w:tc>
          <w:tcPr>
            <w:tcW w:type="dxa" w:w="1661"/>
          </w:tcPr>
          <w:p>
            <w:pPr>
              <w:pStyle w:val="null3"/>
            </w:pPr>
            <w:r>
              <w:rPr>
                <w:rFonts w:ascii="仿宋_GB2312" w:hAnsi="仿宋_GB2312" w:cs="仿宋_GB2312" w:eastAsia="仿宋_GB2312"/>
              </w:rPr>
              <w:t>应急响应方案及合理化建议</w:t>
            </w:r>
          </w:p>
        </w:tc>
        <w:tc>
          <w:tcPr>
            <w:tcW w:type="dxa" w:w="2492"/>
          </w:tcPr>
          <w:p>
            <w:pPr>
              <w:pStyle w:val="null3"/>
            </w:pPr>
            <w:r>
              <w:rPr>
                <w:rFonts w:ascii="仿宋_GB2312" w:hAnsi="仿宋_GB2312" w:cs="仿宋_GB2312" w:eastAsia="仿宋_GB2312"/>
              </w:rPr>
              <w:t>一、评审内容：针对本项目制定应急响应方案及合理化建议，包含①有具体可行的突发事件应急预案。 ②对做好本项目检测服务工作的合理化建议。 二、评审标准：1.完整性：方案必须全面，对评审内容中的各项要求有详细描述； 2.可实施性：切合本项目实际情况，提出步骤清晰、合理的方案； 3.针对性：方案能够紧扣项目实际情况，内容科学合理。 三. 赋分标准： ①-②类内容各占3分，每类按“完整性、可实施性、针对性” 分别评 1-2，累计满分6分。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3.应急响应方案及合理化建议</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一、评审内容：针对本项目拟派人员配置，其中：项目负责 1 人、技术负责人 1人、其他人员（包括：检测工程师、辅助人员等）5 人。 二、评审标准：（1）拟派项目负责人（2分）：提供相关专业高级职称证得1分，中级职称证得0.5分，中级以下职称不得分；提供2023年1月至今承接过的类似项目有效业绩（加盖公章合同复印件），1份得1分，最高得1分。 （2）拟派技术负责人（2分）：提供相关专业高级职称证得1分，中级职称证得0.5分，中级以下职称不得分；提供2023年2月1日至今承接过的类似项目有效业绩（加盖公章合同复印件），1份得1分，最高得1分。 （3）其他人员（5分）：除项目负责人及技术负责人外，每提供1名符合要求（证明材料齐全）的人员得1分，最高得5分；未按要求提供证明材料的，该人员不计分。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4.人员配备</w:t>
            </w:r>
          </w:p>
        </w:tc>
      </w:tr>
      <w:tr>
        <w:tc>
          <w:tcPr>
            <w:tcW w:type="dxa" w:w="831"/>
            <w:vMerge/>
          </w:tcPr>
          <w:p/>
        </w:tc>
        <w:tc>
          <w:tcPr>
            <w:tcW w:type="dxa" w:w="1661"/>
          </w:tcPr>
          <w:p>
            <w:pPr>
              <w:pStyle w:val="null3"/>
            </w:pPr>
            <w:r>
              <w:rPr>
                <w:rFonts w:ascii="仿宋_GB2312" w:hAnsi="仿宋_GB2312" w:cs="仿宋_GB2312" w:eastAsia="仿宋_GB2312"/>
              </w:rPr>
              <w:t>人员配备管 理方案</w:t>
            </w:r>
          </w:p>
        </w:tc>
        <w:tc>
          <w:tcPr>
            <w:tcW w:type="dxa" w:w="2492"/>
          </w:tcPr>
          <w:p>
            <w:pPr>
              <w:pStyle w:val="null3"/>
            </w:pPr>
            <w:r>
              <w:rPr>
                <w:rFonts w:ascii="仿宋_GB2312" w:hAnsi="仿宋_GB2312" w:cs="仿宋_GB2312" w:eastAsia="仿宋_GB2312"/>
              </w:rPr>
              <w:t>一、评审内容：针对本项目编制完善的人员配备管理方案，人员配备齐全、分工明确、岗位安排合理等，包含：①项目组织构架（人员配备明细）及各流程节点岗位职责划分；②人员管理制度。 二、评审标准：1.完整性：方案必须全面，对评审内容中的各项要求有详细描述； 2.可实施性：切合本项目实际情况，提出步骤清晰、合理的方案； 3.针对性：方案能够紧扣项目实际情况，内容科学合理。 三. 赋分标准： ①-②类内容各占3分，每类按“完整性、可实施性、针对性” 分别评 0-3，累计满分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5.人员配备管理方案</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一、评审内容：针对本项目编制完善的拟投入设备方案，包含：①设备配置总体方案；②仪器设备、专业工具；③项目配套服务设备的运维及备用方案。 二、评审标准：1.完整性：方案必须全面，对评审内容中的各项要求有详细描述； 2.可实施性：切合本项目实际情况，提出步骤清晰、合理的方案； 3.针对性：方案能够紧扣项目实际情况，内容科学合理。 三. 赋分标准： ①-③类内容各占3分，每类按“完整性、可实施性、针对性” 分别评 0-1，累计满分 9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6.拟投入的设备</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一、评审内容：针对本项目有详细、可行的服务承诺，包含：①前期准备及组织实施时的服务承诺；②项目实施过程中对人员的安全承诺及措施；③提交成果后及参与项目验收工作的服务承诺。 二、评审标准：1.完整性：方案必须全面，对评审内容中的各项要求有详细描述； 2.可实施性：切合本项目实际情况，提出步骤清晰、合理的方案； 3.针对性：方案能够紧扣项目实际情况，内容科学合理。 三. 赋分标准： ①-③类内容各占3分，每类按“完整性、可实施性、针对性” 分别评 0-2，累计满分6分。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7.服务承诺</w:t>
            </w:r>
          </w:p>
        </w:tc>
      </w:tr>
      <w:tr>
        <w:tc>
          <w:tcPr>
            <w:tcW w:type="dxa" w:w="831"/>
            <w:vMerge/>
          </w:tcPr>
          <w:p/>
        </w:tc>
        <w:tc>
          <w:tcPr>
            <w:tcW w:type="dxa" w:w="1661"/>
          </w:tcPr>
          <w:p>
            <w:pPr>
              <w:pStyle w:val="null3"/>
            </w:pPr>
            <w:r>
              <w:rPr>
                <w:rFonts w:ascii="仿宋_GB2312" w:hAnsi="仿宋_GB2312" w:cs="仿宋_GB2312" w:eastAsia="仿宋_GB2312"/>
              </w:rPr>
              <w:t>质量保障措 施及安全保 障措施</w:t>
            </w:r>
          </w:p>
        </w:tc>
        <w:tc>
          <w:tcPr>
            <w:tcW w:type="dxa" w:w="2492"/>
          </w:tcPr>
          <w:p>
            <w:pPr>
              <w:pStyle w:val="null3"/>
            </w:pPr>
            <w:r>
              <w:rPr>
                <w:rFonts w:ascii="仿宋_GB2312" w:hAnsi="仿宋_GB2312" w:cs="仿宋_GB2312" w:eastAsia="仿宋_GB2312"/>
              </w:rPr>
              <w:t>一、评审内容：针对本项目编制质量保障措施及安全保障措施，包含：①质量保障措施；②安全保障措施。 二、评审标准：1.完整性：方案必须全面，对评审内容中的各项要求有详细描述； 2.可实施性：切合本项目实际情况，提出步骤清晰、合理的方案； 3.针对性：方案能够紧扣项目实际情况，内容科学合理。 三. 赋分标准： ①-②类内容各占3分，每类按“完整性、可实施性、针对性” 分别评 0-2，累计满分6分。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8质量保障措施及安全保障措施</w:t>
            </w:r>
          </w:p>
        </w:tc>
      </w:tr>
      <w:tr>
        <w:tc>
          <w:tcPr>
            <w:tcW w:type="dxa" w:w="831"/>
            <w:vMerge/>
          </w:tcPr>
          <w:p/>
        </w:tc>
        <w:tc>
          <w:tcPr>
            <w:tcW w:type="dxa" w:w="1661"/>
          </w:tcPr>
          <w:p>
            <w:pPr>
              <w:pStyle w:val="null3"/>
            </w:pPr>
            <w:r>
              <w:rPr>
                <w:rFonts w:ascii="仿宋_GB2312" w:hAnsi="仿宋_GB2312" w:cs="仿宋_GB2312" w:eastAsia="仿宋_GB2312"/>
              </w:rPr>
              <w:t>检测工作保障措施</w:t>
            </w:r>
          </w:p>
        </w:tc>
        <w:tc>
          <w:tcPr>
            <w:tcW w:type="dxa" w:w="2492"/>
          </w:tcPr>
          <w:p>
            <w:pPr>
              <w:pStyle w:val="null3"/>
            </w:pPr>
            <w:r>
              <w:rPr>
                <w:rFonts w:ascii="仿宋_GB2312" w:hAnsi="仿宋_GB2312" w:cs="仿宋_GB2312" w:eastAsia="仿宋_GB2312"/>
              </w:rPr>
              <w:t>根据供应商提供的检测工作保障措施进行综合评审，包括但不限于①检测工作成果文件的质量保证措施、②检测工作的进度计划和保证措施、③外业检测工作的安全保证措施、④检测数据分析及技术保证措施、⑤检测成果文件保密保证措施。 二、评审标准：1.完整性：方案必须全面，对评审内容中的各项要求有详细描述； 2.可实施性：切合本项目实际情况，提出步骤清晰、合理的方案； 3.针对性：方案能够紧扣项目实际情况，内容科学合理。 三. 赋分标准： ①-⑤类内容各占3分，每类按“完整性、可实施性、针对性” 分别评 0-3，累计满分15分。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9.检测工作保障措施</w:t>
            </w:r>
          </w:p>
        </w:tc>
      </w:tr>
      <w:tr>
        <w:tc>
          <w:tcPr>
            <w:tcW w:type="dxa" w:w="831"/>
            <w:vMerge/>
          </w:tcPr>
          <w:p/>
        </w:tc>
        <w:tc>
          <w:tcPr>
            <w:tcW w:type="dxa" w:w="1661"/>
          </w:tcPr>
          <w:p>
            <w:pPr>
              <w:pStyle w:val="null3"/>
            </w:pPr>
            <w:r>
              <w:rPr>
                <w:rFonts w:ascii="仿宋_GB2312" w:hAnsi="仿宋_GB2312" w:cs="仿宋_GB2312" w:eastAsia="仿宋_GB2312"/>
              </w:rPr>
              <w:t>成果交付</w:t>
            </w:r>
          </w:p>
        </w:tc>
        <w:tc>
          <w:tcPr>
            <w:tcW w:type="dxa" w:w="2492"/>
          </w:tcPr>
          <w:p>
            <w:pPr>
              <w:pStyle w:val="null3"/>
            </w:pPr>
            <w:r>
              <w:rPr>
                <w:rFonts w:ascii="仿宋_GB2312" w:hAnsi="仿宋_GB2312" w:cs="仿宋_GB2312" w:eastAsia="仿宋_GB2312"/>
              </w:rPr>
              <w:t>一、评审内容：供应商承诺提交符合采购人要求的成果资料，并保证提交的成果资料真实、符合要求，未经采购人同意不得擅自用于其他地方。 二、评审标准：（1）承诺清晰明确，完全符合评审标准，明确保证成果真实、合规且不擅自挪用得4分；承诺基本符合要求，但表述不够清晰扣1-2分；未作出相关承诺或承诺不符合要求不得分。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10.成果交付</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年1月至今承接过的类似项目业绩（以合同签订日期为准）， 每提供一份有效业绩得 2.5 分，最高得 5 分。 注：业绩证明材料以加盖供应商公章的合同复印件为准。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3、不享有政策优惠条件的投标投标人报价得分=（评审基准价/报价）×10。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详见附件：投标供应商认为有必要补充说明的事项</w:t>
      </w:r>
    </w:p>
    <w:p>
      <w:pPr>
        <w:pStyle w:val="null3"/>
        <w:ind w:firstLine="960"/>
      </w:pPr>
      <w:r>
        <w:rPr>
          <w:rFonts w:ascii="仿宋_GB2312" w:hAnsi="仿宋_GB2312" w:cs="仿宋_GB2312" w:eastAsia="仿宋_GB2312"/>
        </w:rPr>
        <w:t>详见附件：磋商保证金缴纳凭证</w:t>
      </w:r>
    </w:p>
    <w:p>
      <w:pPr>
        <w:pStyle w:val="null3"/>
        <w:ind w:firstLine="960"/>
      </w:pPr>
      <w:r>
        <w:rPr>
          <w:rFonts w:ascii="仿宋_GB2312" w:hAnsi="仿宋_GB2312" w:cs="仿宋_GB2312" w:eastAsia="仿宋_GB2312"/>
        </w:rPr>
        <w:t>详见附件：1.项目总体方案</w:t>
      </w:r>
    </w:p>
    <w:p>
      <w:pPr>
        <w:pStyle w:val="null3"/>
        <w:ind w:firstLine="960"/>
      </w:pPr>
      <w:r>
        <w:rPr>
          <w:rFonts w:ascii="仿宋_GB2312" w:hAnsi="仿宋_GB2312" w:cs="仿宋_GB2312" w:eastAsia="仿宋_GB2312"/>
        </w:rPr>
        <w:t>详见附件：2.本工程检测工作的重点与难点分析及对策</w:t>
      </w:r>
    </w:p>
    <w:p>
      <w:pPr>
        <w:pStyle w:val="null3"/>
        <w:ind w:firstLine="960"/>
      </w:pPr>
      <w:r>
        <w:rPr>
          <w:rFonts w:ascii="仿宋_GB2312" w:hAnsi="仿宋_GB2312" w:cs="仿宋_GB2312" w:eastAsia="仿宋_GB2312"/>
        </w:rPr>
        <w:t>详见附件：3.应急响应方案及合理化建议</w:t>
      </w:r>
    </w:p>
    <w:p>
      <w:pPr>
        <w:pStyle w:val="null3"/>
        <w:ind w:firstLine="960"/>
      </w:pPr>
      <w:r>
        <w:rPr>
          <w:rFonts w:ascii="仿宋_GB2312" w:hAnsi="仿宋_GB2312" w:cs="仿宋_GB2312" w:eastAsia="仿宋_GB2312"/>
        </w:rPr>
        <w:t>详见附件：4.人员配备</w:t>
      </w:r>
    </w:p>
    <w:p>
      <w:pPr>
        <w:pStyle w:val="null3"/>
        <w:ind w:firstLine="960"/>
      </w:pPr>
      <w:r>
        <w:rPr>
          <w:rFonts w:ascii="仿宋_GB2312" w:hAnsi="仿宋_GB2312" w:cs="仿宋_GB2312" w:eastAsia="仿宋_GB2312"/>
        </w:rPr>
        <w:t>详见附件：5.人员配备管理方案</w:t>
      </w:r>
    </w:p>
    <w:p>
      <w:pPr>
        <w:pStyle w:val="null3"/>
        <w:ind w:firstLine="960"/>
      </w:pPr>
      <w:r>
        <w:rPr>
          <w:rFonts w:ascii="仿宋_GB2312" w:hAnsi="仿宋_GB2312" w:cs="仿宋_GB2312" w:eastAsia="仿宋_GB2312"/>
        </w:rPr>
        <w:t>详见附件：6.拟投入的设备</w:t>
      </w:r>
    </w:p>
    <w:p>
      <w:pPr>
        <w:pStyle w:val="null3"/>
        <w:ind w:firstLine="960"/>
      </w:pPr>
      <w:r>
        <w:rPr>
          <w:rFonts w:ascii="仿宋_GB2312" w:hAnsi="仿宋_GB2312" w:cs="仿宋_GB2312" w:eastAsia="仿宋_GB2312"/>
        </w:rPr>
        <w:t>详见附件：7.服务承诺</w:t>
      </w:r>
    </w:p>
    <w:p>
      <w:pPr>
        <w:pStyle w:val="null3"/>
        <w:ind w:firstLine="960"/>
      </w:pPr>
      <w:r>
        <w:rPr>
          <w:rFonts w:ascii="仿宋_GB2312" w:hAnsi="仿宋_GB2312" w:cs="仿宋_GB2312" w:eastAsia="仿宋_GB2312"/>
        </w:rPr>
        <w:t>详见附件：8质量保障措施及安全保障措施</w:t>
      </w:r>
    </w:p>
    <w:p>
      <w:pPr>
        <w:pStyle w:val="null3"/>
        <w:ind w:firstLine="960"/>
      </w:pPr>
      <w:r>
        <w:rPr>
          <w:rFonts w:ascii="仿宋_GB2312" w:hAnsi="仿宋_GB2312" w:cs="仿宋_GB2312" w:eastAsia="仿宋_GB2312"/>
        </w:rPr>
        <w:t>详见附件：9.检测工作保障措施</w:t>
      </w:r>
    </w:p>
    <w:p>
      <w:pPr>
        <w:pStyle w:val="null3"/>
        <w:ind w:firstLine="960"/>
      </w:pPr>
      <w:r>
        <w:rPr>
          <w:rFonts w:ascii="仿宋_GB2312" w:hAnsi="仿宋_GB2312" w:cs="仿宋_GB2312" w:eastAsia="仿宋_GB2312"/>
        </w:rPr>
        <w:t>详见附件：10.成果交付</w:t>
      </w:r>
    </w:p>
    <w:p>
      <w:pPr>
        <w:pStyle w:val="null3"/>
        <w:ind w:firstLine="960"/>
      </w:pPr>
      <w:r>
        <w:rPr>
          <w:rFonts w:ascii="仿宋_GB2312" w:hAnsi="仿宋_GB2312" w:cs="仿宋_GB2312" w:eastAsia="仿宋_GB2312"/>
        </w:rPr>
        <w:t>详见附件：11.类似项目业绩一览表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