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EC83DC"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应急响应方案及合理化建议</w:t>
      </w:r>
    </w:p>
    <w:p w14:paraId="5A1515A8"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供应商根据企业自身情况编写</w:t>
      </w:r>
    </w:p>
    <w:p w14:paraId="1C7C3833"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（格式自拟）</w:t>
      </w:r>
    </w:p>
    <w:p w14:paraId="59313AD4"/>
    <w:p w14:paraId="6C8512E3">
      <w:pPr>
        <w:jc w:val="center"/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E0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2026-03-04T02:53:56Z</dcterms:created>
  <dc:creator>Administrator</dc:creator>
  <cp:lastModifiedBy>荏苒</cp:lastModifiedBy>
  <dcterms:modified xsi:type="dcterms:W3CDTF">2026-03-04T02:54:10Z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eyJoZGlkIjoiNzk3ODE5YWMyODhjZGNlNDcyODFiZWM4NzEyY2NkN2IiLCJ1c2VySWQiOiIyMjMwNDA4NjYifQ==</vt:lpwstr>
  </property>
  <property fmtid="{D5CDD505-2E9C-101B-9397-08002B2CF9AE}" pid="4" name="ICV">
    <vt:lpwstr>3E6F8219395547548553DFB90B407721_12</vt:lpwstr>
  </property>
</Properties>
</file>