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68949">
      <w:pPr>
        <w:pStyle w:val="3"/>
        <w:ind w:left="0"/>
        <w:jc w:val="center"/>
        <w:rPr>
          <w:color w:val="auto"/>
        </w:rPr>
      </w:pPr>
      <w:bookmarkStart w:id="0" w:name="_Toc19199"/>
      <w:bookmarkStart w:id="1" w:name="_Toc4679"/>
      <w:bookmarkStart w:id="2" w:name="_Toc19246"/>
      <w:bookmarkStart w:id="3" w:name="_Toc26595"/>
      <w:bookmarkStart w:id="4" w:name="_Toc8333"/>
      <w:bookmarkStart w:id="5" w:name="_Toc29888"/>
      <w:bookmarkStart w:id="6" w:name="_Toc31520"/>
      <w:bookmarkStart w:id="7" w:name="_Toc363474023"/>
      <w:bookmarkStart w:id="8" w:name="_Toc389582037"/>
      <w:r>
        <w:rPr>
          <w:rFonts w:hint="eastAsia"/>
          <w:color w:val="auto"/>
        </w:rPr>
        <w:t>政府采购合同格式（参考）</w:t>
      </w:r>
    </w:p>
    <w:p w14:paraId="1B1F11F8">
      <w:pPr>
        <w:pStyle w:val="4"/>
        <w:spacing w:beforeLines="0" w:line="240" w:lineRule="auto"/>
        <w:rPr>
          <w:rFonts w:ascii="黑体" w:hAnsi="黑体" w:eastAsia="黑体" w:cs="黑体"/>
          <w:color w:val="auto"/>
        </w:rPr>
      </w:pPr>
      <w:bookmarkStart w:id="9" w:name="_Toc9068"/>
      <w:bookmarkStart w:id="10" w:name="_Toc12414"/>
      <w:bookmarkStart w:id="11" w:name="_Toc11480"/>
      <w:bookmarkStart w:id="12" w:name="_Toc27475"/>
      <w:bookmarkStart w:id="13" w:name="_Toc28118"/>
      <w:bookmarkStart w:id="14" w:name="_Toc29267"/>
      <w:r>
        <w:rPr>
          <w:rFonts w:hint="eastAsia"/>
          <w:color w:val="auto"/>
        </w:rPr>
        <w:t>一、合同协议书</w:t>
      </w:r>
      <w:bookmarkEnd w:id="9"/>
      <w:bookmarkEnd w:id="10"/>
      <w:bookmarkEnd w:id="11"/>
      <w:bookmarkEnd w:id="12"/>
      <w:bookmarkEnd w:id="13"/>
      <w:bookmarkEnd w:id="14"/>
    </w:p>
    <w:p w14:paraId="7C3AC625">
      <w:pPr>
        <w:wordWrap w:val="0"/>
        <w:snapToGrid w:val="0"/>
        <w:rPr>
          <w:rFonts w:ascii="宋体" w:hAnsi="宋体" w:cs="宋体"/>
          <w:color w:val="auto"/>
          <w:sz w:val="24"/>
          <w:szCs w:val="24"/>
        </w:rPr>
      </w:pPr>
      <w:r>
        <w:rPr>
          <w:rFonts w:hint="eastAsia" w:ascii="宋体" w:hAnsi="宋体" w:cs="宋体"/>
          <w:color w:val="auto"/>
          <w:sz w:val="24"/>
          <w:szCs w:val="24"/>
        </w:rPr>
        <w:t xml:space="preserve">合同编号：  </w:t>
      </w:r>
    </w:p>
    <w:p w14:paraId="720D6FAC">
      <w:pPr>
        <w:wordWrap w:val="0"/>
        <w:snapToGrid w:val="0"/>
        <w:rPr>
          <w:rFonts w:ascii="宋体" w:hAnsi="宋体" w:cs="宋体"/>
          <w:color w:val="auto"/>
          <w:sz w:val="24"/>
          <w:szCs w:val="24"/>
        </w:rPr>
      </w:pPr>
      <w:r>
        <w:rPr>
          <w:rFonts w:hint="eastAsia" w:ascii="宋体" w:hAnsi="宋体" w:cs="宋体"/>
          <w:color w:val="auto"/>
          <w:sz w:val="24"/>
          <w:szCs w:val="24"/>
        </w:rPr>
        <w:t xml:space="preserve">签订地点： </w:t>
      </w:r>
    </w:p>
    <w:p w14:paraId="1942FD5B">
      <w:pPr>
        <w:wordWrap w:val="0"/>
        <w:snapToGrid w:val="0"/>
        <w:rPr>
          <w:rFonts w:ascii="宋体" w:hAnsi="宋体" w:cs="宋体"/>
          <w:color w:val="auto"/>
          <w:sz w:val="24"/>
          <w:szCs w:val="24"/>
        </w:rPr>
      </w:pPr>
      <w:r>
        <w:rPr>
          <w:rFonts w:hint="eastAsia" w:ascii="宋体" w:hAnsi="宋体" w:cs="宋体"/>
          <w:color w:val="auto"/>
          <w:sz w:val="24"/>
          <w:szCs w:val="24"/>
        </w:rPr>
        <w:t xml:space="preserve">签订时间： </w:t>
      </w:r>
    </w:p>
    <w:p w14:paraId="258BE55E">
      <w:pPr>
        <w:wordWrap w:val="0"/>
        <w:snapToGrid w:val="0"/>
        <w:rPr>
          <w:rFonts w:ascii="宋体" w:hAnsi="宋体" w:cs="宋体"/>
          <w:color w:val="auto"/>
          <w:sz w:val="24"/>
          <w:szCs w:val="24"/>
        </w:rPr>
      </w:pPr>
      <w:r>
        <w:rPr>
          <w:rFonts w:hint="eastAsia" w:ascii="宋体" w:hAnsi="宋体" w:cs="宋体"/>
          <w:color w:val="auto"/>
          <w:sz w:val="24"/>
          <w:szCs w:val="24"/>
        </w:rPr>
        <w:t>采购人（委托人）：</w:t>
      </w:r>
    </w:p>
    <w:p w14:paraId="4D1A7B2D">
      <w:pPr>
        <w:wordWrap w:val="0"/>
        <w:snapToGrid w:val="0"/>
        <w:rPr>
          <w:rFonts w:ascii="宋体" w:hAnsi="宋体" w:cs="宋体"/>
          <w:color w:val="auto"/>
          <w:sz w:val="24"/>
          <w:szCs w:val="24"/>
        </w:rPr>
      </w:pPr>
      <w:r>
        <w:rPr>
          <w:rFonts w:hint="eastAsia" w:ascii="宋体" w:hAnsi="宋体" w:cs="宋体"/>
          <w:color w:val="auto"/>
          <w:sz w:val="24"/>
          <w:szCs w:val="24"/>
        </w:rPr>
        <w:t>供应商（养护公司）：</w:t>
      </w:r>
    </w:p>
    <w:p w14:paraId="2A6C8534">
      <w:pPr>
        <w:wordWrap w:val="0"/>
        <w:snapToGrid w:val="0"/>
        <w:ind w:firstLine="480" w:firstLineChars="200"/>
        <w:rPr>
          <w:rFonts w:ascii="宋体" w:hAnsi="宋体" w:cs="宋体"/>
          <w:color w:val="auto"/>
          <w:sz w:val="24"/>
          <w:szCs w:val="24"/>
        </w:rPr>
      </w:pPr>
      <w:r>
        <w:rPr>
          <w:rFonts w:hint="eastAsia" w:ascii="宋体" w:hAnsi="宋体" w:cs="宋体"/>
          <w:color w:val="auto"/>
          <w:sz w:val="24"/>
          <w:szCs w:val="24"/>
        </w:rPr>
        <w:t>根据《中华人民共和国政府采购法》及实施条例、《中华人民共和国合同法》和 2026年南郑区农村公路日常养护管理和路产保护（采购项目编号：2026-HZRY-ZFCG-002）的招标文件、投标文件等有关规定，为</w:t>
      </w:r>
      <w:bookmarkStart w:id="60" w:name="_GoBack"/>
      <w:bookmarkEnd w:id="60"/>
      <w:r>
        <w:rPr>
          <w:rFonts w:hint="eastAsia" w:ascii="宋体" w:hAnsi="宋体" w:cs="宋体"/>
          <w:color w:val="auto"/>
          <w:sz w:val="24"/>
          <w:szCs w:val="24"/>
        </w:rPr>
        <w:t>确保采购人采购项目的顺利实施，采购人、养护公司在平等自愿原则下签订本合同协议书，并共同遵守如下条款：</w:t>
      </w:r>
    </w:p>
    <w:p w14:paraId="468F5DDB">
      <w:pPr>
        <w:pStyle w:val="6"/>
        <w:spacing w:beforeAutospacing="0" w:afterAutospacing="0"/>
        <w:rPr>
          <w:rFonts w:cs="宋体"/>
          <w:color w:val="auto"/>
        </w:rPr>
      </w:pPr>
      <w:bookmarkStart w:id="15" w:name="_Toc30470"/>
      <w:bookmarkStart w:id="16" w:name="_Toc23397"/>
      <w:r>
        <w:rPr>
          <w:rFonts w:cs="宋体"/>
          <w:color w:val="auto"/>
        </w:rPr>
        <w:t>一、采购事项</w:t>
      </w:r>
      <w:bookmarkEnd w:id="15"/>
      <w:bookmarkEnd w:id="16"/>
      <w:r>
        <w:rPr>
          <w:rFonts w:cs="宋体"/>
          <w:color w:val="auto"/>
        </w:rPr>
        <w:t>南郑区农村公路日常养护管理和路产保护，全权负责日常养护的各种事宜，履行采购人的责任和义务。</w:t>
      </w:r>
    </w:p>
    <w:p w14:paraId="2BA5DEED">
      <w:pPr>
        <w:pStyle w:val="6"/>
        <w:spacing w:beforeAutospacing="0" w:afterAutospacing="0"/>
        <w:rPr>
          <w:rFonts w:hint="default" w:cs="宋体"/>
          <w:color w:val="auto"/>
        </w:rPr>
      </w:pPr>
      <w:bookmarkStart w:id="17" w:name="_Toc4889"/>
      <w:bookmarkStart w:id="18" w:name="_Toc17402"/>
      <w:bookmarkStart w:id="19" w:name="_Toc26015"/>
      <w:r>
        <w:rPr>
          <w:rFonts w:cs="宋体"/>
          <w:color w:val="auto"/>
        </w:rPr>
        <w:t>二、项目基本情况</w:t>
      </w:r>
      <w:bookmarkEnd w:id="17"/>
      <w:bookmarkEnd w:id="18"/>
      <w:bookmarkEnd w:id="19"/>
    </w:p>
    <w:p w14:paraId="0078F7EF">
      <w:pPr>
        <w:ind w:firstLine="480" w:firstLineChars="200"/>
        <w:rPr>
          <w:rFonts w:ascii="宋体" w:hAnsi="宋体" w:cs="宋体"/>
          <w:color w:val="auto"/>
          <w:sz w:val="24"/>
          <w:szCs w:val="24"/>
        </w:rPr>
      </w:pPr>
      <w:bookmarkStart w:id="20" w:name="_Toc12796"/>
      <w:bookmarkStart w:id="21" w:name="_Toc18950"/>
      <w:bookmarkStart w:id="22" w:name="_Toc3343"/>
      <w:r>
        <w:rPr>
          <w:rFonts w:hint="eastAsia" w:ascii="宋体" w:hAnsi="宋体" w:cs="宋体"/>
          <w:color w:val="auto"/>
          <w:sz w:val="24"/>
          <w:szCs w:val="24"/>
        </w:rPr>
        <w:t>2026</w:t>
      </w:r>
      <w:r>
        <w:rPr>
          <w:rFonts w:hint="eastAsia" w:ascii="宋体" w:hAnsi="宋体" w:cs="宋体"/>
          <w:color w:val="auto"/>
          <w:sz w:val="24"/>
          <w:szCs w:val="24"/>
        </w:rPr>
        <w:t>年度</w:t>
      </w:r>
      <w:r>
        <w:rPr>
          <w:rFonts w:hint="eastAsia" w:ascii="宋体" w:hAnsi="宋体" w:cs="宋体"/>
          <w:color w:val="auto"/>
          <w:sz w:val="24"/>
          <w:szCs w:val="24"/>
        </w:rPr>
        <w:t>农村公路日常养护管理为区交通运输下达列养的新增省道、县道及部分乡道。主要工作内容为日常养护及养护管理、桥梁、涵洞检查维护、应急抢险及路产保护和安全运行等工作。2026年列养公路招标总里程共计508.6公里，按区域划分为六个标段进行招标，分别是：</w:t>
      </w:r>
    </w:p>
    <w:p w14:paraId="1833AA0A">
      <w:pPr>
        <w:ind w:firstLine="480" w:firstLineChars="200"/>
        <w:rPr>
          <w:rFonts w:ascii="宋体" w:hAnsi="宋体" w:cs="宋体"/>
          <w:color w:val="auto"/>
          <w:sz w:val="24"/>
          <w:szCs w:val="24"/>
        </w:rPr>
      </w:pPr>
      <w:r>
        <w:rPr>
          <w:rFonts w:hint="eastAsia" w:ascii="宋体" w:hAnsi="宋体" w:cs="宋体"/>
          <w:color w:val="auto"/>
          <w:sz w:val="24"/>
          <w:szCs w:val="24"/>
        </w:rPr>
        <w:t>A标段，共计84.7公里。S103</w:t>
      </w:r>
      <w:r>
        <w:rPr>
          <w:rFonts w:hint="eastAsia" w:ascii="宋体" w:hAnsi="宋体" w:cs="宋体"/>
          <w:color w:val="auto"/>
          <w:sz w:val="24"/>
          <w:szCs w:val="24"/>
        </w:rPr>
        <w:tab/>
      </w:r>
      <w:r>
        <w:rPr>
          <w:rFonts w:hint="eastAsia" w:ascii="宋体" w:hAnsi="宋体" w:cs="宋体"/>
          <w:color w:val="auto"/>
          <w:sz w:val="24"/>
          <w:szCs w:val="24"/>
        </w:rPr>
        <w:t>西青线(城固界—八一三厂区大门),8.9公里；S103西青线（八一三厂大门—南郑大道），8.8公里；S220南朱线（卢家沟—南心桥），10.3公里；X306高南路（南心桥—湘水村食用菌基地），6.9公里；X306高南路（湘水村食用菌基地—城固界），9.7公里；X318青王路（塘坎十字—卢家沟大桥接S220），0.7公里；X234汉圣路（汉桂大桥—湘水镇），13.6公里；X234汉圣路（湘水镇—圣水镇），21.2公里；X207万山路（西青线—城固界），4.6公里。</w:t>
      </w:r>
      <w:bookmarkStart w:id="23" w:name="OLE_LINK3"/>
      <w:bookmarkStart w:id="24" w:name="OLE_LINK4"/>
      <w:r>
        <w:rPr>
          <w:rFonts w:hint="eastAsia" w:ascii="宋体" w:hAnsi="宋体" w:cs="宋体"/>
          <w:color w:val="auto"/>
          <w:sz w:val="24"/>
          <w:szCs w:val="24"/>
        </w:rPr>
        <w:t>桥梁年段检查费用21000.00元，</w:t>
      </w:r>
      <w:bookmarkEnd w:id="23"/>
      <w:bookmarkEnd w:id="24"/>
      <w:r>
        <w:rPr>
          <w:rFonts w:hint="eastAsia" w:ascii="宋体" w:hAnsi="宋体" w:cs="宋体"/>
          <w:color w:val="auto"/>
          <w:sz w:val="24"/>
          <w:szCs w:val="24"/>
        </w:rPr>
        <w:t>该标段总费用448488.00元。</w:t>
      </w:r>
    </w:p>
    <w:p w14:paraId="0FB14538">
      <w:pPr>
        <w:ind w:firstLine="480" w:firstLineChars="200"/>
        <w:rPr>
          <w:rFonts w:ascii="宋体" w:hAnsi="宋体" w:cs="宋体"/>
          <w:color w:val="auto"/>
          <w:sz w:val="24"/>
          <w:szCs w:val="24"/>
        </w:rPr>
      </w:pPr>
      <w:r>
        <w:rPr>
          <w:rFonts w:hint="eastAsia" w:ascii="宋体" w:hAnsi="宋体" w:cs="宋体"/>
          <w:color w:val="auto"/>
          <w:sz w:val="24"/>
          <w:szCs w:val="24"/>
        </w:rPr>
        <w:t>B标段，共计96.2公里。S220南朱线（南心桥—八号桥头），10.3公里；S220南朱线（八号桥头—回军坝），14公里；S220南朱线（回军坝—天池子梁），10公里；X235小西路</w:t>
      </w:r>
      <w:r>
        <w:rPr>
          <w:rFonts w:hint="eastAsia" w:ascii="宋体" w:hAnsi="宋体" w:cs="宋体"/>
          <w:color w:val="auto"/>
          <w:sz w:val="24"/>
          <w:szCs w:val="24"/>
        </w:rPr>
        <w:tab/>
      </w:r>
      <w:r>
        <w:rPr>
          <w:rFonts w:hint="eastAsia" w:ascii="宋体" w:hAnsi="宋体" w:cs="宋体"/>
          <w:color w:val="auto"/>
          <w:sz w:val="24"/>
          <w:szCs w:val="24"/>
        </w:rPr>
        <w:t>(八号桥头—小坝街),18公里；S317西略线（城固界—牟家坝），16.1公里；S317</w:t>
      </w:r>
      <w:r>
        <w:rPr>
          <w:rFonts w:hint="eastAsia" w:ascii="宋体" w:hAnsi="宋体" w:cs="宋体"/>
          <w:color w:val="auto"/>
          <w:sz w:val="24"/>
          <w:szCs w:val="24"/>
        </w:rPr>
        <w:tab/>
      </w:r>
      <w:r>
        <w:rPr>
          <w:rFonts w:hint="eastAsia" w:ascii="宋体" w:hAnsi="宋体" w:cs="宋体"/>
          <w:color w:val="auto"/>
          <w:sz w:val="24"/>
          <w:szCs w:val="24"/>
        </w:rPr>
        <w:t>西略线（牟家坝—罗家咀接G244），13.6公里；Y204五兴路（石桥子—石嘴子），4.2公里；Y218回龙路（南朱线—龙头山），10公里。</w:t>
      </w:r>
      <w:bookmarkStart w:id="25" w:name="OLE_LINK29"/>
      <w:bookmarkStart w:id="26" w:name="OLE_LINK28"/>
      <w:r>
        <w:rPr>
          <w:rFonts w:hint="eastAsia" w:ascii="宋体" w:hAnsi="宋体" w:cs="宋体"/>
          <w:color w:val="auto"/>
          <w:sz w:val="24"/>
          <w:szCs w:val="24"/>
        </w:rPr>
        <w:t>桥梁年段检查费用8000.00元，该标段总费用466760.00元。</w:t>
      </w:r>
    </w:p>
    <w:bookmarkEnd w:id="25"/>
    <w:bookmarkEnd w:id="26"/>
    <w:p w14:paraId="23AD6AC4">
      <w:pPr>
        <w:ind w:firstLine="480" w:firstLineChars="200"/>
        <w:rPr>
          <w:rFonts w:ascii="宋体" w:hAnsi="宋体" w:cs="宋体"/>
          <w:color w:val="auto"/>
          <w:sz w:val="24"/>
          <w:szCs w:val="24"/>
        </w:rPr>
      </w:pPr>
      <w:r>
        <w:rPr>
          <w:rFonts w:hint="eastAsia" w:ascii="宋体" w:hAnsi="宋体" w:cs="宋体"/>
          <w:color w:val="auto"/>
          <w:sz w:val="24"/>
          <w:szCs w:val="24"/>
        </w:rPr>
        <w:t>C标段，共计80.2公里。S103西青线（阳春十字—新集），9公里；S103西青线（新集—勉县界），12.2公里；X307周老路（G85高速协税通道—吴坝、新集太白村—岳岭村），两段合计5.6公里；X320汉钢路（新集—三门子），7.1公里；Y304周玉路（G244保卫村—汉钢路东风村），6公里；Y201柳汉路（徐庙—王家山），3公里；Y208协濂路（吴坝—熊庙水库），5.3公里；Y005阳高路（彭家河坎—高台街），27.2公里；Y014岳华路（岳岭—民兵基地）4.8公里。</w:t>
      </w:r>
      <w:bookmarkStart w:id="27" w:name="OLE_LINK2"/>
      <w:bookmarkStart w:id="28" w:name="OLE_LINK1"/>
      <w:bookmarkStart w:id="29" w:name="OLE_LINK30"/>
      <w:bookmarkStart w:id="30" w:name="OLE_LINK31"/>
      <w:r>
        <w:rPr>
          <w:rFonts w:hint="eastAsia" w:ascii="宋体" w:hAnsi="宋体" w:cs="宋体"/>
          <w:color w:val="auto"/>
          <w:sz w:val="24"/>
          <w:szCs w:val="24"/>
        </w:rPr>
        <w:t>桥梁年段检查费用8000元，</w:t>
      </w:r>
      <w:bookmarkEnd w:id="27"/>
      <w:bookmarkEnd w:id="28"/>
      <w:r>
        <w:rPr>
          <w:rFonts w:hint="eastAsia" w:ascii="宋体" w:hAnsi="宋体" w:cs="宋体"/>
          <w:color w:val="auto"/>
          <w:sz w:val="24"/>
          <w:szCs w:val="24"/>
        </w:rPr>
        <w:t>该标段总费用427580.00元</w:t>
      </w:r>
      <w:bookmarkEnd w:id="29"/>
      <w:bookmarkEnd w:id="30"/>
      <w:r>
        <w:rPr>
          <w:rFonts w:hint="eastAsia" w:ascii="宋体" w:hAnsi="宋体" w:cs="宋体"/>
          <w:color w:val="auto"/>
          <w:sz w:val="24"/>
          <w:szCs w:val="24"/>
        </w:rPr>
        <w:t>。</w:t>
      </w:r>
    </w:p>
    <w:p w14:paraId="61271B01">
      <w:pPr>
        <w:ind w:firstLine="480" w:firstLineChars="200"/>
        <w:rPr>
          <w:rFonts w:ascii="宋体" w:hAnsi="宋体" w:cs="宋体"/>
          <w:color w:val="auto"/>
          <w:sz w:val="24"/>
          <w:szCs w:val="24"/>
        </w:rPr>
      </w:pPr>
      <w:r>
        <w:rPr>
          <w:rFonts w:hint="eastAsia" w:ascii="宋体" w:hAnsi="宋体" w:cs="宋体"/>
          <w:color w:val="auto"/>
          <w:sz w:val="24"/>
          <w:szCs w:val="24"/>
        </w:rPr>
        <w:t>D标段，共计83.9公里。S317西略线（黎坪新桥—宁强界），15.8公里；S525</w:t>
      </w:r>
      <w:r>
        <w:rPr>
          <w:rFonts w:hint="eastAsia" w:ascii="宋体" w:hAnsi="宋体" w:cs="宋体"/>
          <w:color w:val="auto"/>
          <w:sz w:val="24"/>
          <w:szCs w:val="24"/>
        </w:rPr>
        <w:tab/>
      </w:r>
      <w:r>
        <w:rPr>
          <w:rFonts w:hint="eastAsia" w:ascii="宋体" w:hAnsi="宋体" w:cs="宋体"/>
          <w:color w:val="auto"/>
          <w:sz w:val="24"/>
          <w:szCs w:val="24"/>
        </w:rPr>
        <w:t>勉南线（勉县界—魏家桥），9.1公里；青黎路（青树—武营），8公里；X319青三路（水井—三门子），8公里；X320汉钢路（三门子—钢厂桥），13公里；Y203青黄路（青树—黄官），6.5公里；Y208协濂路（熊庙水库—濂水街），6.5公里；Y310魏黎路（魏家桥—黎坪菜坝（含服务区管护）），17公里。</w:t>
      </w:r>
      <w:bookmarkStart w:id="31" w:name="OLE_LINK34"/>
      <w:bookmarkStart w:id="32" w:name="OLE_LINK35"/>
      <w:r>
        <w:rPr>
          <w:rFonts w:hint="eastAsia" w:ascii="宋体" w:hAnsi="宋体" w:cs="宋体"/>
          <w:color w:val="auto"/>
          <w:sz w:val="24"/>
          <w:szCs w:val="24"/>
        </w:rPr>
        <w:t>桥梁年段检查费用10000.00元，该标段总费用435160.00元。</w:t>
      </w:r>
    </w:p>
    <w:bookmarkEnd w:id="31"/>
    <w:bookmarkEnd w:id="32"/>
    <w:p w14:paraId="46FD9BC7">
      <w:pPr>
        <w:ind w:firstLine="480" w:firstLineChars="200"/>
        <w:rPr>
          <w:rFonts w:ascii="宋体" w:hAnsi="宋体" w:cs="宋体"/>
          <w:color w:val="auto"/>
          <w:sz w:val="24"/>
          <w:szCs w:val="24"/>
        </w:rPr>
      </w:pPr>
      <w:r>
        <w:rPr>
          <w:rFonts w:hint="eastAsia" w:ascii="宋体" w:hAnsi="宋体" w:cs="宋体"/>
          <w:color w:val="auto"/>
          <w:sz w:val="24"/>
          <w:szCs w:val="24"/>
        </w:rPr>
        <w:t>E标段，共计85.3公里。S220南朱线（天池子粱—大西河桥），13.3公里；S220</w:t>
      </w:r>
      <w:r>
        <w:rPr>
          <w:rFonts w:hint="eastAsia" w:ascii="宋体" w:hAnsi="宋体" w:cs="宋体"/>
          <w:color w:val="auto"/>
          <w:sz w:val="24"/>
          <w:szCs w:val="24"/>
        </w:rPr>
        <w:tab/>
      </w:r>
      <w:r>
        <w:rPr>
          <w:rFonts w:hint="eastAsia" w:ascii="宋体" w:hAnsi="宋体" w:cs="宋体"/>
          <w:color w:val="auto"/>
          <w:sz w:val="24"/>
          <w:szCs w:val="24"/>
        </w:rPr>
        <w:t>南朱线（大西河桥—川陕界），34.7公里；X235小西路（陶家坝—大西河桥），11.5公里；Y306朱空路（朱家坝—福成），18公里；Y219福元路（福成—马元），7.8公里</w:t>
      </w:r>
      <w:bookmarkStart w:id="33" w:name="OLE_LINK32"/>
      <w:bookmarkStart w:id="34" w:name="OLE_LINK33"/>
      <w:r>
        <w:rPr>
          <w:rFonts w:hint="eastAsia" w:ascii="宋体" w:hAnsi="宋体" w:cs="宋体"/>
          <w:color w:val="auto"/>
          <w:sz w:val="24"/>
          <w:szCs w:val="24"/>
        </w:rPr>
        <w:t>。</w:t>
      </w:r>
      <w:bookmarkEnd w:id="33"/>
      <w:bookmarkEnd w:id="34"/>
      <w:r>
        <w:rPr>
          <w:rFonts w:hint="eastAsia" w:ascii="宋体" w:hAnsi="宋体" w:cs="宋体"/>
          <w:color w:val="auto"/>
          <w:sz w:val="24"/>
          <w:szCs w:val="24"/>
        </w:rPr>
        <w:t>桥梁年段检查费用21000.00元，该标段总费用402138.00元。</w:t>
      </w:r>
    </w:p>
    <w:p w14:paraId="44A1CBA3">
      <w:pPr>
        <w:ind w:firstLine="480" w:firstLineChars="200"/>
        <w:rPr>
          <w:rFonts w:ascii="仿宋_GB2312" w:hAnsi="仿宋_GB2312" w:eastAsia="仿宋" w:cs="仿宋_GB2312"/>
          <w:color w:val="auto"/>
          <w:sz w:val="24"/>
          <w:szCs w:val="24"/>
        </w:rPr>
      </w:pPr>
      <w:r>
        <w:rPr>
          <w:rFonts w:hint="eastAsia" w:ascii="宋体" w:hAnsi="宋体" w:cs="宋体"/>
          <w:color w:val="auto"/>
          <w:sz w:val="24"/>
          <w:szCs w:val="24"/>
        </w:rPr>
        <w:t>F标段，共计78.3公里。S103西青线（石拱街道—阳春十字（含汉钢路濂水桥至石拱）），10公里；X318青王路（青树—卢家沟（含山顶环线）），28.4公里；X102汉土路（孤山大桥—勉县界），4.1公里；Y101周龙路（金石谷—龙咀子（含龙咀子—娘娘坪）），7公里；Y201柳汉路（汉山广场—金石谷），8.7公里；Y201</w:t>
      </w:r>
      <w:r>
        <w:rPr>
          <w:rFonts w:hint="eastAsia" w:ascii="宋体" w:hAnsi="宋体" w:cs="宋体"/>
          <w:color w:val="auto"/>
          <w:sz w:val="24"/>
          <w:szCs w:val="24"/>
        </w:rPr>
        <w:tab/>
      </w:r>
      <w:r>
        <w:rPr>
          <w:rFonts w:hint="eastAsia" w:ascii="宋体" w:hAnsi="宋体" w:cs="宋体"/>
          <w:color w:val="auto"/>
          <w:sz w:val="24"/>
          <w:szCs w:val="24"/>
        </w:rPr>
        <w:t>柳汉路（金石谷—苏家梁），5.1公里；Y202石梁路（G244东辰学校—梁山），6公里；Y222幸福路（幸福桥—李家山），3.9公里；堤顶路（梁西村汉江北岸），2公里；联络线（五福临门—玉葫泉（半山环线）），3.1公里。桥梁年段检查费用8000.00元，该标段总费用545912.00元。</w:t>
      </w:r>
    </w:p>
    <w:p w14:paraId="4D868482">
      <w:pPr>
        <w:pStyle w:val="6"/>
        <w:spacing w:beforeAutospacing="0" w:afterAutospacing="0"/>
        <w:rPr>
          <w:rFonts w:hint="default" w:cs="宋体"/>
          <w:color w:val="auto"/>
        </w:rPr>
      </w:pPr>
      <w:r>
        <w:rPr>
          <w:rFonts w:cs="宋体"/>
          <w:color w:val="auto"/>
        </w:rPr>
        <w:t>三、养护期限</w:t>
      </w:r>
      <w:bookmarkEnd w:id="20"/>
      <w:bookmarkEnd w:id="21"/>
      <w:bookmarkEnd w:id="22"/>
    </w:p>
    <w:p w14:paraId="75E8EDA4">
      <w:pPr>
        <w:rPr>
          <w:rFonts w:ascii="宋体" w:hAnsi="宋体" w:cs="宋体"/>
          <w:color w:val="auto"/>
          <w:sz w:val="24"/>
          <w:szCs w:val="24"/>
        </w:rPr>
      </w:pPr>
      <w:r>
        <w:rPr>
          <w:rFonts w:hint="eastAsia" w:ascii="宋体" w:hAnsi="宋体" w:cs="宋体"/>
          <w:color w:val="auto"/>
          <w:sz w:val="24"/>
          <w:szCs w:val="24"/>
        </w:rPr>
        <w:t>合同期限为1年，自     年  月  日至   年  月  日。</w:t>
      </w:r>
    </w:p>
    <w:p w14:paraId="706D63CA">
      <w:pPr>
        <w:pStyle w:val="6"/>
        <w:spacing w:beforeAutospacing="0" w:afterAutospacing="0"/>
        <w:rPr>
          <w:rFonts w:hint="default" w:cs="宋体"/>
          <w:color w:val="auto"/>
        </w:rPr>
      </w:pPr>
      <w:bookmarkStart w:id="35" w:name="_Toc25028"/>
      <w:bookmarkStart w:id="36" w:name="_Toc4912"/>
      <w:bookmarkStart w:id="37" w:name="_Toc22524"/>
      <w:r>
        <w:rPr>
          <w:rFonts w:cs="宋体"/>
          <w:color w:val="auto"/>
        </w:rPr>
        <w:t>四、日常养护依据</w:t>
      </w:r>
      <w:bookmarkEnd w:id="35"/>
      <w:bookmarkEnd w:id="36"/>
    </w:p>
    <w:p w14:paraId="291364C0">
      <w:pPr>
        <w:rPr>
          <w:rFonts w:ascii="宋体" w:hAnsi="宋体" w:cs="宋体"/>
          <w:color w:val="auto"/>
          <w:sz w:val="24"/>
          <w:szCs w:val="24"/>
        </w:rPr>
      </w:pPr>
      <w:r>
        <w:rPr>
          <w:rFonts w:hint="eastAsia" w:ascii="宋体" w:hAnsi="宋体" w:cs="宋体"/>
          <w:color w:val="auto"/>
          <w:sz w:val="24"/>
          <w:szCs w:val="24"/>
        </w:rPr>
        <w:t>1、交通运输部 财政部《交通运输部 财政部贯彻落实&lt;国务院办公厅关于组织深化农村公路管理养护体制改革的意见&gt;的通知》（交公路发〔2020〕26号）；</w:t>
      </w:r>
    </w:p>
    <w:p w14:paraId="42FD8D29">
      <w:pPr>
        <w:rPr>
          <w:rFonts w:ascii="宋体" w:hAnsi="宋体" w:cs="宋体"/>
          <w:color w:val="auto"/>
          <w:sz w:val="24"/>
          <w:szCs w:val="24"/>
        </w:rPr>
      </w:pPr>
      <w:r>
        <w:rPr>
          <w:rFonts w:hint="eastAsia" w:ascii="宋体" w:hAnsi="宋体" w:cs="宋体"/>
          <w:color w:val="auto"/>
          <w:sz w:val="24"/>
          <w:szCs w:val="24"/>
        </w:rPr>
        <w:t>2、陕西省人民政府办公厅《陕西省人民政府办公厅关于印发深化农村公路管理养护体制改革实施方案的通知》（陕政办发〔2020〕29号）</w:t>
      </w:r>
    </w:p>
    <w:p w14:paraId="082CC947">
      <w:pPr>
        <w:rPr>
          <w:rFonts w:ascii="宋体" w:hAnsi="宋体" w:cs="宋体"/>
          <w:color w:val="auto"/>
          <w:sz w:val="24"/>
          <w:szCs w:val="24"/>
        </w:rPr>
      </w:pPr>
      <w:r>
        <w:rPr>
          <w:rFonts w:hint="eastAsia" w:ascii="宋体" w:hAnsi="宋体" w:cs="宋体"/>
          <w:color w:val="auto"/>
          <w:sz w:val="24"/>
          <w:szCs w:val="24"/>
        </w:rPr>
        <w:t>3、汉中市人民政府办公室《关于印发深化农村公路管理养护体制改革实施方案的通知》（汉政办发〔2021〕41号）；</w:t>
      </w:r>
    </w:p>
    <w:p w14:paraId="0577500B">
      <w:pPr>
        <w:rPr>
          <w:rFonts w:ascii="宋体" w:hAnsi="宋体" w:cs="宋体"/>
          <w:color w:val="auto"/>
          <w:sz w:val="24"/>
          <w:szCs w:val="24"/>
        </w:rPr>
      </w:pPr>
      <w:r>
        <w:rPr>
          <w:rFonts w:hint="eastAsia" w:ascii="宋体" w:hAnsi="宋体" w:cs="宋体"/>
          <w:color w:val="auto"/>
          <w:sz w:val="24"/>
          <w:szCs w:val="24"/>
        </w:rPr>
        <w:t>4、汉中市交通运输局《关于印发&lt;汉中市农村公路养护管理指导意见&gt;的通知》（汉市交发〔2020〕48号）；</w:t>
      </w:r>
    </w:p>
    <w:p w14:paraId="511B23A6">
      <w:pPr>
        <w:rPr>
          <w:rFonts w:ascii="宋体" w:hAnsi="宋体" w:cs="宋体"/>
          <w:color w:val="auto"/>
          <w:sz w:val="24"/>
          <w:szCs w:val="24"/>
        </w:rPr>
      </w:pPr>
      <w:r>
        <w:rPr>
          <w:rFonts w:hint="eastAsia" w:ascii="宋体" w:hAnsi="宋体" w:cs="宋体"/>
          <w:color w:val="auto"/>
          <w:sz w:val="24"/>
          <w:szCs w:val="24"/>
        </w:rPr>
        <w:t>5、汉中市南郑区人民政府办公室《关于印发&lt;南郑区农村公路养护管理办法&gt;的通知》（南政办发[2022]27号）</w:t>
      </w:r>
    </w:p>
    <w:p w14:paraId="5C757D83">
      <w:pPr>
        <w:rPr>
          <w:rFonts w:ascii="宋体" w:hAnsi="宋体" w:cs="宋体"/>
          <w:color w:val="auto"/>
          <w:sz w:val="24"/>
          <w:szCs w:val="24"/>
        </w:rPr>
      </w:pPr>
      <w:r>
        <w:rPr>
          <w:rFonts w:hint="eastAsia" w:ascii="宋体" w:hAnsi="宋体" w:cs="宋体"/>
          <w:color w:val="auto"/>
          <w:sz w:val="24"/>
          <w:szCs w:val="24"/>
        </w:rPr>
        <w:t>6、汉中市南郑区交通运输局《关于下达2026年农村公路日常养护计划的通知》（南交发[2026]8号）</w:t>
      </w:r>
    </w:p>
    <w:p w14:paraId="146AE78E">
      <w:pPr>
        <w:rPr>
          <w:rFonts w:ascii="宋体" w:hAnsi="宋体" w:cs="宋体"/>
          <w:color w:val="auto"/>
          <w:sz w:val="24"/>
          <w:szCs w:val="24"/>
        </w:rPr>
      </w:pPr>
      <w:r>
        <w:rPr>
          <w:rFonts w:hint="eastAsia" w:ascii="宋体" w:hAnsi="宋体" w:cs="宋体"/>
          <w:color w:val="auto"/>
          <w:sz w:val="24"/>
          <w:szCs w:val="24"/>
        </w:rPr>
        <w:t>7、其他农村公路养护相关文件。</w:t>
      </w:r>
    </w:p>
    <w:p w14:paraId="4AF1F035">
      <w:pPr>
        <w:pStyle w:val="6"/>
        <w:spacing w:beforeAutospacing="0" w:afterAutospacing="0"/>
        <w:rPr>
          <w:rFonts w:hint="default" w:cs="宋体"/>
          <w:color w:val="auto"/>
        </w:rPr>
      </w:pPr>
      <w:bookmarkStart w:id="38" w:name="_Toc27253"/>
      <w:bookmarkStart w:id="39" w:name="_Toc12400"/>
      <w:r>
        <w:rPr>
          <w:rFonts w:cs="宋体"/>
          <w:color w:val="auto"/>
        </w:rPr>
        <w:t>五、日常养护</w:t>
      </w:r>
      <w:bookmarkEnd w:id="37"/>
      <w:r>
        <w:rPr>
          <w:rFonts w:cs="宋体"/>
          <w:color w:val="auto"/>
        </w:rPr>
        <w:t>基本要求</w:t>
      </w:r>
      <w:bookmarkEnd w:id="38"/>
      <w:bookmarkEnd w:id="39"/>
    </w:p>
    <w:p w14:paraId="5091BD35">
      <w:pPr>
        <w:ind w:firstLine="480" w:firstLineChars="200"/>
        <w:rPr>
          <w:rFonts w:ascii="宋体" w:hAnsi="宋体" w:cs="宋体"/>
          <w:color w:val="auto"/>
          <w:sz w:val="24"/>
          <w:szCs w:val="24"/>
        </w:rPr>
      </w:pPr>
      <w:r>
        <w:rPr>
          <w:rFonts w:hint="eastAsia" w:ascii="宋体" w:hAnsi="宋体" w:cs="宋体"/>
          <w:color w:val="auto"/>
          <w:sz w:val="24"/>
          <w:szCs w:val="24"/>
        </w:rPr>
        <w:t>保持路面整洁、横坡适度、行车舒适；路肩整洁、边坡稳定、排水畅通；桥涵、构造物完好；沿线公路设施完善；绿化协调美观；辖区路政事案上报无遗漏，人员、设备、机械安全无事故。</w:t>
      </w:r>
    </w:p>
    <w:p w14:paraId="540B4EBA">
      <w:pPr>
        <w:pStyle w:val="6"/>
        <w:spacing w:beforeAutospacing="0" w:afterAutospacing="0"/>
        <w:rPr>
          <w:rFonts w:hint="default" w:cs="宋体"/>
          <w:color w:val="auto"/>
        </w:rPr>
      </w:pPr>
      <w:bookmarkStart w:id="40" w:name="_Toc14312"/>
      <w:bookmarkStart w:id="41" w:name="_Toc26312"/>
      <w:r>
        <w:rPr>
          <w:rFonts w:cs="宋体"/>
          <w:color w:val="auto"/>
        </w:rPr>
        <w:t>六、日常养护内容与标准</w:t>
      </w:r>
      <w:bookmarkEnd w:id="40"/>
      <w:bookmarkEnd w:id="41"/>
    </w:p>
    <w:p w14:paraId="70B22DF7">
      <w:pPr>
        <w:rPr>
          <w:rFonts w:ascii="宋体" w:hAnsi="宋体" w:cs="宋体"/>
          <w:color w:val="auto"/>
          <w:sz w:val="24"/>
          <w:szCs w:val="24"/>
        </w:rPr>
      </w:pPr>
      <w:bookmarkStart w:id="42" w:name="_Toc2053"/>
      <w:bookmarkStart w:id="43" w:name="_Toc26464"/>
      <w:bookmarkStart w:id="44" w:name="_Toc25902"/>
      <w:r>
        <w:rPr>
          <w:rFonts w:hint="eastAsia" w:ascii="宋体" w:hAnsi="宋体" w:cs="宋体"/>
          <w:color w:val="auto"/>
          <w:sz w:val="24"/>
          <w:szCs w:val="24"/>
        </w:rPr>
        <w:t>（一）县道、重要乡道日常保养内容及标准</w:t>
      </w:r>
    </w:p>
    <w:p w14:paraId="319FC91D">
      <w:pPr>
        <w:rPr>
          <w:rFonts w:ascii="宋体" w:hAnsi="宋体" w:cs="宋体"/>
          <w:color w:val="auto"/>
          <w:sz w:val="24"/>
          <w:szCs w:val="24"/>
        </w:rPr>
      </w:pPr>
      <w:r>
        <w:rPr>
          <w:rFonts w:hint="eastAsia" w:ascii="宋体" w:hAnsi="宋体" w:cs="宋体"/>
          <w:color w:val="auto"/>
          <w:sz w:val="24"/>
          <w:szCs w:val="24"/>
        </w:rPr>
        <w:t>1、路基养护</w:t>
      </w:r>
    </w:p>
    <w:p w14:paraId="6FA4620B">
      <w:pPr>
        <w:rPr>
          <w:rFonts w:ascii="宋体" w:hAnsi="宋体" w:cs="宋体"/>
          <w:color w:val="auto"/>
          <w:sz w:val="24"/>
          <w:szCs w:val="24"/>
        </w:rPr>
      </w:pPr>
      <w:r>
        <w:rPr>
          <w:rFonts w:hint="eastAsia" w:ascii="宋体" w:hAnsi="宋体" w:cs="宋体"/>
          <w:color w:val="auto"/>
          <w:sz w:val="24"/>
          <w:szCs w:val="24"/>
        </w:rPr>
        <w:t>(1)路肩。清除路肩杂物、垃圾、堆积物、种植物及高草;路肩平整、坚实，与路面衔接平顺;路肩宽度大于设计宽度，外缘边线顺适，宽度差无20cm以上突变。</w:t>
      </w:r>
    </w:p>
    <w:p w14:paraId="43D5DB22">
      <w:pPr>
        <w:rPr>
          <w:rFonts w:ascii="宋体" w:hAnsi="宋体" w:cs="宋体"/>
          <w:color w:val="auto"/>
          <w:sz w:val="24"/>
          <w:szCs w:val="24"/>
        </w:rPr>
      </w:pPr>
      <w:r>
        <w:rPr>
          <w:rFonts w:hint="eastAsia" w:ascii="宋体" w:hAnsi="宋体" w:cs="宋体"/>
          <w:color w:val="auto"/>
          <w:sz w:val="24"/>
          <w:szCs w:val="24"/>
        </w:rPr>
        <w:t>(2)排水设施。边沟、排水沟等结构物整洁无杂草、杂物，排水畅通无淤积。</w:t>
      </w:r>
    </w:p>
    <w:p w14:paraId="5F521602">
      <w:pPr>
        <w:rPr>
          <w:rFonts w:ascii="宋体" w:hAnsi="宋体" w:cs="宋体"/>
          <w:color w:val="auto"/>
          <w:sz w:val="24"/>
          <w:szCs w:val="24"/>
        </w:rPr>
      </w:pPr>
      <w:r>
        <w:rPr>
          <w:rFonts w:hint="eastAsia" w:ascii="宋体" w:hAnsi="宋体" w:cs="宋体"/>
          <w:color w:val="auto"/>
          <w:sz w:val="24"/>
          <w:szCs w:val="24"/>
        </w:rPr>
        <w:t>(3)边坡。边坡无冲沟，缺口宽度在30cm以上；清除边坡种植物，保证边坡安全稳定;及时清除沿线塌方。</w:t>
      </w:r>
    </w:p>
    <w:p w14:paraId="7CEB8976">
      <w:pPr>
        <w:rPr>
          <w:rFonts w:ascii="宋体" w:hAnsi="宋体" w:cs="宋体"/>
          <w:color w:val="auto"/>
          <w:sz w:val="24"/>
          <w:szCs w:val="24"/>
        </w:rPr>
      </w:pPr>
      <w:r>
        <w:rPr>
          <w:rFonts w:hint="eastAsia" w:ascii="宋体" w:hAnsi="宋体" w:cs="宋体"/>
          <w:color w:val="auto"/>
          <w:sz w:val="24"/>
          <w:szCs w:val="24"/>
        </w:rPr>
        <w:t>(4)防护及支挡结构。及时清除防护及支挡结构伸缩缝、泄水孔及表面杂草，保证构造物功能正常发挥。</w:t>
      </w:r>
    </w:p>
    <w:p w14:paraId="621E117A">
      <w:pPr>
        <w:rPr>
          <w:rFonts w:ascii="宋体" w:hAnsi="宋体" w:cs="宋体"/>
          <w:color w:val="auto"/>
          <w:sz w:val="24"/>
          <w:szCs w:val="24"/>
        </w:rPr>
      </w:pPr>
      <w:r>
        <w:rPr>
          <w:rFonts w:hint="eastAsia" w:ascii="宋体" w:hAnsi="宋体" w:cs="宋体"/>
          <w:color w:val="auto"/>
          <w:sz w:val="24"/>
          <w:szCs w:val="24"/>
        </w:rPr>
        <w:t>(5)涵洞。清洁洞口杂物，清除洞内的堆积物、淤积物、漂浮物等内容，使洞口铺彻与上下游水槽坡道平齐顺适，保持水流畅通。</w:t>
      </w:r>
    </w:p>
    <w:p w14:paraId="2498211E">
      <w:pPr>
        <w:rPr>
          <w:rFonts w:ascii="宋体" w:hAnsi="宋体" w:cs="宋体"/>
          <w:color w:val="auto"/>
          <w:sz w:val="24"/>
          <w:szCs w:val="24"/>
        </w:rPr>
      </w:pPr>
      <w:r>
        <w:rPr>
          <w:rFonts w:hint="eastAsia" w:ascii="宋体" w:hAnsi="宋体" w:cs="宋体"/>
          <w:color w:val="auto"/>
          <w:sz w:val="24"/>
          <w:szCs w:val="24"/>
        </w:rPr>
        <w:t>2、路面养护</w:t>
      </w:r>
    </w:p>
    <w:p w14:paraId="5FBF6DC6">
      <w:pPr>
        <w:rPr>
          <w:rFonts w:ascii="宋体" w:hAnsi="宋体" w:cs="宋体"/>
          <w:color w:val="auto"/>
          <w:sz w:val="24"/>
          <w:szCs w:val="24"/>
        </w:rPr>
      </w:pPr>
      <w:r>
        <w:rPr>
          <w:rFonts w:hint="eastAsia" w:ascii="宋体" w:hAnsi="宋体" w:cs="宋体"/>
          <w:color w:val="auto"/>
          <w:sz w:val="24"/>
          <w:szCs w:val="24"/>
        </w:rPr>
        <w:t>(1)定期清扫路面，及时清除杂物，保持路面清洁。</w:t>
      </w:r>
    </w:p>
    <w:p w14:paraId="107F92C1">
      <w:pPr>
        <w:rPr>
          <w:rFonts w:ascii="宋体" w:hAnsi="宋体" w:cs="宋体"/>
          <w:color w:val="auto"/>
          <w:sz w:val="24"/>
          <w:szCs w:val="24"/>
        </w:rPr>
      </w:pPr>
      <w:r>
        <w:rPr>
          <w:rFonts w:hint="eastAsia" w:ascii="宋体" w:hAnsi="宋体" w:cs="宋体"/>
          <w:color w:val="auto"/>
          <w:sz w:val="24"/>
          <w:szCs w:val="24"/>
        </w:rPr>
        <w:t>(2)冬季清除路面积雪、积冰，铺撒防滑料;夏季排除路面积水，保障公路安全通行。</w:t>
      </w:r>
    </w:p>
    <w:p w14:paraId="3DBCBC8F">
      <w:pPr>
        <w:rPr>
          <w:rFonts w:ascii="宋体" w:hAnsi="宋体" w:cs="宋体"/>
          <w:color w:val="auto"/>
          <w:sz w:val="24"/>
          <w:szCs w:val="24"/>
        </w:rPr>
      </w:pPr>
      <w:r>
        <w:rPr>
          <w:rFonts w:hint="eastAsia" w:ascii="宋体" w:hAnsi="宋体" w:cs="宋体"/>
          <w:color w:val="auto"/>
          <w:sz w:val="24"/>
          <w:szCs w:val="24"/>
        </w:rPr>
        <w:t>3、桥梁及涵洞养护</w:t>
      </w:r>
    </w:p>
    <w:p w14:paraId="1205538D">
      <w:pPr>
        <w:rPr>
          <w:rFonts w:ascii="宋体" w:hAnsi="宋体" w:cs="宋体"/>
          <w:color w:val="auto"/>
          <w:sz w:val="24"/>
          <w:szCs w:val="24"/>
        </w:rPr>
      </w:pPr>
      <w:r>
        <w:rPr>
          <w:rFonts w:hint="eastAsia" w:ascii="宋体" w:hAnsi="宋体" w:cs="宋体"/>
          <w:color w:val="auto"/>
          <w:sz w:val="24"/>
          <w:szCs w:val="24"/>
        </w:rPr>
        <w:t>（1）定期清扫桥面，清除桥面杂物、堆积物；疏通泄水孔，及时排除桥面积水。</w:t>
      </w:r>
    </w:p>
    <w:p w14:paraId="5900A517">
      <w:pPr>
        <w:rPr>
          <w:rFonts w:ascii="宋体" w:hAnsi="宋体" w:cs="宋体"/>
          <w:color w:val="auto"/>
          <w:sz w:val="24"/>
          <w:szCs w:val="24"/>
        </w:rPr>
      </w:pPr>
      <w:r>
        <w:rPr>
          <w:rFonts w:hint="eastAsia" w:ascii="宋体" w:hAnsi="宋体" w:cs="宋体"/>
          <w:color w:val="auto"/>
          <w:sz w:val="24"/>
          <w:szCs w:val="24"/>
        </w:rPr>
        <w:t>（2）定期检查桥梁、涵洞，重点检查桥梁有无构部件破损、基础冲刷、沉陷、裂缝；涵洞有无破损、淤堵。发现上述安全隐患，应及时向上级报告。</w:t>
      </w:r>
    </w:p>
    <w:p w14:paraId="422161F5">
      <w:pPr>
        <w:rPr>
          <w:rFonts w:ascii="宋体" w:hAnsi="宋体" w:cs="宋体"/>
          <w:color w:val="auto"/>
          <w:sz w:val="24"/>
          <w:szCs w:val="24"/>
        </w:rPr>
      </w:pPr>
      <w:r>
        <w:rPr>
          <w:rFonts w:hint="eastAsia" w:ascii="宋体" w:hAnsi="宋体" w:cs="宋体"/>
          <w:color w:val="auto"/>
          <w:sz w:val="24"/>
          <w:szCs w:val="24"/>
        </w:rPr>
        <w:t>（3）涵洞。清洁洞口杂物、洞内的堆积物等，保持水流畅通。</w:t>
      </w:r>
    </w:p>
    <w:p w14:paraId="58C48D99">
      <w:pPr>
        <w:rPr>
          <w:rFonts w:ascii="宋体" w:hAnsi="宋体" w:cs="宋体"/>
          <w:color w:val="auto"/>
          <w:sz w:val="24"/>
          <w:szCs w:val="24"/>
        </w:rPr>
      </w:pPr>
      <w:r>
        <w:rPr>
          <w:rFonts w:hint="eastAsia" w:ascii="宋体" w:hAnsi="宋体" w:cs="宋体"/>
          <w:color w:val="auto"/>
          <w:sz w:val="24"/>
          <w:szCs w:val="24"/>
        </w:rPr>
        <w:t>4、交通工程及沿线设施养护</w:t>
      </w:r>
    </w:p>
    <w:p w14:paraId="1B79B0BA">
      <w:pPr>
        <w:rPr>
          <w:rFonts w:ascii="宋体" w:hAnsi="宋体" w:cs="宋体"/>
          <w:color w:val="auto"/>
          <w:sz w:val="24"/>
          <w:szCs w:val="24"/>
        </w:rPr>
      </w:pPr>
      <w:r>
        <w:rPr>
          <w:rFonts w:hint="eastAsia" w:ascii="宋体" w:hAnsi="宋体" w:cs="宋体"/>
          <w:color w:val="auto"/>
          <w:sz w:val="24"/>
          <w:szCs w:val="24"/>
        </w:rPr>
        <w:t>(1)定期对里程碑、示警墩(桩)、护栏、反光镜等沿线设施进行清洗，经常保持沿线设施清洁、醒目。</w:t>
      </w:r>
    </w:p>
    <w:p w14:paraId="0C9F9664">
      <w:pPr>
        <w:rPr>
          <w:rFonts w:ascii="宋体" w:hAnsi="宋体" w:cs="宋体"/>
          <w:color w:val="auto"/>
          <w:sz w:val="24"/>
          <w:szCs w:val="24"/>
        </w:rPr>
      </w:pPr>
      <w:r>
        <w:rPr>
          <w:rFonts w:hint="eastAsia" w:ascii="宋体" w:hAnsi="宋体" w:cs="宋体"/>
          <w:color w:val="auto"/>
          <w:sz w:val="24"/>
          <w:szCs w:val="24"/>
        </w:rPr>
        <w:t>(2)按照规范要求，及时清除交通标志周围阻碍视线的树木或物体。</w:t>
      </w:r>
    </w:p>
    <w:p w14:paraId="5B997CB9">
      <w:pPr>
        <w:rPr>
          <w:rFonts w:ascii="宋体" w:hAnsi="宋体" w:cs="宋体"/>
          <w:color w:val="auto"/>
          <w:sz w:val="24"/>
          <w:szCs w:val="24"/>
        </w:rPr>
      </w:pPr>
      <w:r>
        <w:rPr>
          <w:rFonts w:hint="eastAsia" w:ascii="宋体" w:hAnsi="宋体" w:cs="宋体"/>
          <w:color w:val="auto"/>
          <w:sz w:val="24"/>
          <w:szCs w:val="24"/>
        </w:rPr>
        <w:t>(3)路面标线污秽，影响辨认性能时，应及时进行清扫或冲洗。</w:t>
      </w:r>
    </w:p>
    <w:p w14:paraId="3F9FBD57">
      <w:pPr>
        <w:rPr>
          <w:rFonts w:ascii="宋体" w:hAnsi="宋体" w:cs="宋体"/>
          <w:color w:val="auto"/>
          <w:sz w:val="24"/>
          <w:szCs w:val="24"/>
        </w:rPr>
      </w:pPr>
      <w:r>
        <w:rPr>
          <w:rFonts w:hint="eastAsia" w:ascii="宋体" w:hAnsi="宋体" w:cs="宋体"/>
          <w:color w:val="auto"/>
          <w:sz w:val="24"/>
          <w:szCs w:val="24"/>
        </w:rPr>
        <w:t>5、绿化养护</w:t>
      </w:r>
    </w:p>
    <w:p w14:paraId="36440B70">
      <w:pPr>
        <w:rPr>
          <w:rFonts w:ascii="宋体" w:hAnsi="宋体" w:cs="宋体"/>
          <w:color w:val="auto"/>
          <w:sz w:val="24"/>
          <w:szCs w:val="24"/>
        </w:rPr>
      </w:pPr>
      <w:r>
        <w:rPr>
          <w:rFonts w:hint="eastAsia" w:ascii="宋体" w:hAnsi="宋体" w:cs="宋体"/>
          <w:color w:val="auto"/>
          <w:sz w:val="24"/>
          <w:szCs w:val="24"/>
        </w:rPr>
        <w:t>(1)每年秋季，对公路沿线树木、公里桩、百米桩、桥梁进行刷白，增加公路美观。</w:t>
      </w:r>
    </w:p>
    <w:p w14:paraId="30EFA49A">
      <w:pPr>
        <w:rPr>
          <w:rFonts w:ascii="宋体" w:hAnsi="宋体" w:cs="宋体"/>
          <w:color w:val="auto"/>
          <w:sz w:val="24"/>
          <w:szCs w:val="24"/>
        </w:rPr>
      </w:pPr>
      <w:r>
        <w:rPr>
          <w:rFonts w:hint="eastAsia" w:ascii="宋体" w:hAnsi="宋体" w:cs="宋体"/>
          <w:color w:val="auto"/>
          <w:sz w:val="24"/>
          <w:szCs w:val="24"/>
        </w:rPr>
        <w:t>(2)每季度对沿线绿化进行修剪，修剪应按照养护规范要求进行，做到及时、整齐、美观。</w:t>
      </w:r>
    </w:p>
    <w:p w14:paraId="63087A34">
      <w:pPr>
        <w:rPr>
          <w:rFonts w:ascii="宋体" w:hAnsi="宋体" w:cs="宋体"/>
          <w:color w:val="auto"/>
          <w:sz w:val="24"/>
          <w:szCs w:val="24"/>
        </w:rPr>
      </w:pPr>
      <w:r>
        <w:rPr>
          <w:rFonts w:hint="eastAsia" w:ascii="宋体" w:hAnsi="宋体" w:cs="宋体"/>
          <w:color w:val="auto"/>
          <w:sz w:val="24"/>
          <w:szCs w:val="24"/>
        </w:rPr>
        <w:t>(3)坚持日常上路巡查，及时发现和制止破坏公路沿线绿化的人和事。</w:t>
      </w:r>
    </w:p>
    <w:p w14:paraId="2E76D335">
      <w:pPr>
        <w:rPr>
          <w:rFonts w:ascii="宋体" w:hAnsi="宋体" w:cs="宋体"/>
          <w:color w:val="auto"/>
          <w:sz w:val="24"/>
          <w:szCs w:val="24"/>
        </w:rPr>
      </w:pPr>
      <w:r>
        <w:rPr>
          <w:rFonts w:hint="eastAsia" w:ascii="宋体" w:hAnsi="宋体" w:cs="宋体"/>
          <w:color w:val="auto"/>
          <w:sz w:val="24"/>
          <w:szCs w:val="24"/>
        </w:rPr>
        <w:t>6、公路防灾及突发事件处置</w:t>
      </w:r>
    </w:p>
    <w:p w14:paraId="47D9ACA0">
      <w:pPr>
        <w:rPr>
          <w:rFonts w:ascii="宋体" w:hAnsi="宋体" w:cs="宋体"/>
          <w:color w:val="auto"/>
          <w:sz w:val="24"/>
          <w:szCs w:val="24"/>
        </w:rPr>
      </w:pPr>
      <w:r>
        <w:rPr>
          <w:rFonts w:hint="eastAsia" w:ascii="宋体" w:hAnsi="宋体" w:cs="宋体"/>
          <w:color w:val="auto"/>
          <w:sz w:val="24"/>
          <w:szCs w:val="24"/>
        </w:rPr>
        <w:t>灾害与突发事件发生后，应按相关预案和管理规定采取处置措施。养护作业人员应加强巡查，发现影响安全通行的各类险情或事故应立即上报;应对通过险情或事故路段的车辆和人员进行提示、警示、劝阻;清除路面积水、积雪(冰)以及其他影响通行的障碍物等;配合开展突发事件处置，清理现场，协助引导交通等。应做好防汛、除冰、除雪等应急物资的储备工作。</w:t>
      </w:r>
    </w:p>
    <w:p w14:paraId="15DFC935">
      <w:pPr>
        <w:rPr>
          <w:rFonts w:ascii="宋体" w:hAnsi="宋体" w:cs="宋体"/>
          <w:color w:val="auto"/>
          <w:sz w:val="24"/>
          <w:szCs w:val="24"/>
        </w:rPr>
      </w:pPr>
      <w:r>
        <w:rPr>
          <w:rFonts w:hint="eastAsia" w:ascii="宋体" w:hAnsi="宋体" w:cs="宋体"/>
          <w:color w:val="auto"/>
          <w:sz w:val="24"/>
          <w:szCs w:val="24"/>
        </w:rPr>
        <w:t>7、养护安全作业</w:t>
      </w:r>
    </w:p>
    <w:p w14:paraId="35086672">
      <w:pPr>
        <w:rPr>
          <w:rFonts w:ascii="宋体" w:hAnsi="宋体" w:cs="宋体"/>
          <w:color w:val="auto"/>
          <w:sz w:val="24"/>
          <w:szCs w:val="24"/>
        </w:rPr>
      </w:pPr>
      <w:r>
        <w:rPr>
          <w:rFonts w:hint="eastAsia" w:ascii="宋体" w:hAnsi="宋体" w:cs="宋体"/>
          <w:color w:val="auto"/>
          <w:sz w:val="24"/>
          <w:szCs w:val="24"/>
        </w:rPr>
        <w:t>养护作业应按照现行《公路养护安全作业规程》(JTGH30)的规定执行。养护作业人员应接受岗前安全教育，养护作业时应穿戴有反光标志的工作服装。</w:t>
      </w:r>
    </w:p>
    <w:p w14:paraId="4E73C1D1">
      <w:pPr>
        <w:rPr>
          <w:rFonts w:ascii="宋体" w:hAnsi="宋体" w:cs="宋体"/>
          <w:color w:val="auto"/>
          <w:sz w:val="24"/>
          <w:szCs w:val="24"/>
        </w:rPr>
      </w:pPr>
      <w:r>
        <w:rPr>
          <w:rFonts w:hint="eastAsia" w:ascii="宋体" w:hAnsi="宋体" w:cs="宋体"/>
          <w:color w:val="auto"/>
          <w:sz w:val="24"/>
          <w:szCs w:val="24"/>
        </w:rPr>
        <w:t>8、路产保护</w:t>
      </w:r>
    </w:p>
    <w:p w14:paraId="17AE2135">
      <w:pPr>
        <w:rPr>
          <w:rFonts w:ascii="宋体" w:hAnsi="宋体" w:cs="宋体"/>
          <w:color w:val="auto"/>
          <w:sz w:val="24"/>
          <w:szCs w:val="24"/>
        </w:rPr>
      </w:pPr>
      <w:r>
        <w:rPr>
          <w:rFonts w:hint="eastAsia" w:ascii="宋体" w:hAnsi="宋体" w:cs="宋体"/>
          <w:color w:val="auto"/>
          <w:sz w:val="24"/>
          <w:szCs w:val="24"/>
        </w:rPr>
        <w:t>坚持日常上路巡查，对挖掘、占用、损坏公路、违章建房和超限车辆及时进行制止，并上报具有农村公路路政管理职能的相应机构。</w:t>
      </w:r>
    </w:p>
    <w:p w14:paraId="1BF2231E">
      <w:pPr>
        <w:rPr>
          <w:rFonts w:ascii="宋体" w:hAnsi="宋体" w:cs="宋体"/>
          <w:color w:val="auto"/>
          <w:sz w:val="24"/>
          <w:szCs w:val="24"/>
        </w:rPr>
      </w:pPr>
      <w:r>
        <w:rPr>
          <w:rFonts w:hint="eastAsia" w:ascii="宋体" w:hAnsi="宋体" w:cs="宋体"/>
          <w:color w:val="auto"/>
          <w:sz w:val="24"/>
          <w:szCs w:val="24"/>
        </w:rPr>
        <w:t>（二）小修内容及标准</w:t>
      </w:r>
    </w:p>
    <w:p w14:paraId="0FBF4E41">
      <w:pPr>
        <w:rPr>
          <w:rFonts w:ascii="宋体" w:hAnsi="宋体" w:cs="宋体"/>
          <w:color w:val="auto"/>
          <w:sz w:val="24"/>
          <w:szCs w:val="24"/>
        </w:rPr>
      </w:pPr>
      <w:r>
        <w:rPr>
          <w:rFonts w:hint="eastAsia" w:ascii="宋体" w:hAnsi="宋体" w:cs="宋体"/>
          <w:color w:val="auto"/>
          <w:sz w:val="24"/>
          <w:szCs w:val="24"/>
        </w:rPr>
        <w:t>1、路基小修</w:t>
      </w:r>
    </w:p>
    <w:p w14:paraId="17E2A54D">
      <w:pPr>
        <w:rPr>
          <w:rFonts w:ascii="宋体" w:hAnsi="宋体" w:cs="宋体"/>
          <w:color w:val="auto"/>
          <w:sz w:val="24"/>
          <w:szCs w:val="24"/>
        </w:rPr>
      </w:pPr>
      <w:r>
        <w:rPr>
          <w:rFonts w:hint="eastAsia" w:ascii="宋体" w:hAnsi="宋体" w:cs="宋体"/>
          <w:color w:val="auto"/>
          <w:sz w:val="24"/>
          <w:szCs w:val="24"/>
        </w:rPr>
        <w:t>（1）路肩小修。包括处理缺口、坑洞、沉陷、隆起等病害。</w:t>
      </w:r>
    </w:p>
    <w:p w14:paraId="6A946A18">
      <w:pPr>
        <w:rPr>
          <w:rFonts w:ascii="宋体" w:hAnsi="宋体" w:cs="宋体"/>
          <w:color w:val="auto"/>
          <w:sz w:val="24"/>
          <w:szCs w:val="24"/>
        </w:rPr>
      </w:pPr>
      <w:r>
        <w:rPr>
          <w:rFonts w:hint="eastAsia" w:ascii="宋体" w:hAnsi="宋体" w:cs="宋体"/>
          <w:color w:val="auto"/>
          <w:sz w:val="24"/>
          <w:szCs w:val="24"/>
        </w:rPr>
        <w:t>（2）边坡。包括清理零星塌方、填补坡面沟面、处理坡脚冲刷、缺损及填补路基缺口等。工程量在20 m3/a.km以下。</w:t>
      </w:r>
    </w:p>
    <w:p w14:paraId="3C4D70C7">
      <w:pPr>
        <w:rPr>
          <w:rFonts w:ascii="宋体" w:hAnsi="宋体" w:cs="宋体"/>
          <w:color w:val="auto"/>
          <w:sz w:val="24"/>
          <w:szCs w:val="24"/>
        </w:rPr>
      </w:pPr>
      <w:r>
        <w:rPr>
          <w:rFonts w:hint="eastAsia" w:ascii="宋体" w:hAnsi="宋体" w:cs="宋体"/>
          <w:color w:val="auto"/>
          <w:sz w:val="24"/>
          <w:szCs w:val="24"/>
        </w:rPr>
        <w:t>（3）排水设施。包括维修边沟的沟壁损坏、沟底冲刷、铺砌缺损、盖板断裂及小段开挖边沟、截水沟或铺彻边沟等内容。工程量在50m/a.km以下。</w:t>
      </w:r>
    </w:p>
    <w:p w14:paraId="1334DC1D">
      <w:pPr>
        <w:rPr>
          <w:rFonts w:ascii="宋体" w:hAnsi="宋体" w:cs="宋体"/>
          <w:color w:val="auto"/>
          <w:sz w:val="24"/>
          <w:szCs w:val="24"/>
        </w:rPr>
      </w:pPr>
      <w:r>
        <w:rPr>
          <w:rFonts w:hint="eastAsia" w:ascii="宋体" w:hAnsi="宋体" w:cs="宋体"/>
          <w:color w:val="auto"/>
          <w:sz w:val="24"/>
          <w:szCs w:val="24"/>
        </w:rPr>
        <w:t>（4）防护及支挡结构。包括修复表面破损、基础冲刷、勾缝抹面等。工程量在5m3/a.km以下。</w:t>
      </w:r>
    </w:p>
    <w:p w14:paraId="150CC78B">
      <w:pPr>
        <w:rPr>
          <w:rFonts w:ascii="宋体" w:hAnsi="宋体" w:cs="宋体"/>
          <w:color w:val="auto"/>
          <w:sz w:val="24"/>
          <w:szCs w:val="24"/>
        </w:rPr>
      </w:pPr>
      <w:r>
        <w:rPr>
          <w:rFonts w:hint="eastAsia" w:ascii="宋体" w:hAnsi="宋体" w:cs="宋体"/>
          <w:color w:val="auto"/>
          <w:sz w:val="24"/>
          <w:szCs w:val="24"/>
        </w:rPr>
        <w:t>（5）涵洞。包括修补涵底铺砌、洞口上下游路基护坡、进出水口附属设施等。</w:t>
      </w:r>
    </w:p>
    <w:p w14:paraId="3C851C2F">
      <w:pPr>
        <w:rPr>
          <w:rFonts w:ascii="宋体" w:hAnsi="宋体" w:cs="宋体"/>
          <w:color w:val="auto"/>
          <w:sz w:val="24"/>
          <w:szCs w:val="24"/>
        </w:rPr>
      </w:pPr>
      <w:r>
        <w:rPr>
          <w:rFonts w:hint="eastAsia" w:ascii="宋体" w:hAnsi="宋体" w:cs="宋体"/>
          <w:color w:val="auto"/>
          <w:sz w:val="24"/>
          <w:szCs w:val="24"/>
        </w:rPr>
        <w:t>2、路面小修</w:t>
      </w:r>
    </w:p>
    <w:p w14:paraId="63083F9C">
      <w:pPr>
        <w:rPr>
          <w:rFonts w:ascii="宋体" w:hAnsi="宋体" w:cs="宋体"/>
          <w:color w:val="auto"/>
          <w:sz w:val="24"/>
          <w:szCs w:val="24"/>
        </w:rPr>
      </w:pPr>
      <w:r>
        <w:rPr>
          <w:rFonts w:hint="eastAsia" w:ascii="宋体" w:hAnsi="宋体" w:cs="宋体"/>
          <w:color w:val="auto"/>
          <w:sz w:val="24"/>
          <w:szCs w:val="24"/>
        </w:rPr>
        <w:t>（1）沥青路面。包括处治路面的裂缝、坑槽、车辙、沉陷、波浪、拥包、松散、翻浆和泛油等局部病害。</w:t>
      </w:r>
    </w:p>
    <w:p w14:paraId="4C1F3F86">
      <w:pPr>
        <w:rPr>
          <w:rFonts w:ascii="宋体" w:hAnsi="宋体" w:cs="宋体"/>
          <w:color w:val="auto"/>
          <w:sz w:val="24"/>
          <w:szCs w:val="24"/>
        </w:rPr>
      </w:pPr>
      <w:r>
        <w:rPr>
          <w:rFonts w:hint="eastAsia" w:ascii="宋体" w:hAnsi="宋体" w:cs="宋体"/>
          <w:color w:val="auto"/>
          <w:sz w:val="24"/>
          <w:szCs w:val="24"/>
        </w:rPr>
        <w:t>（2）水泥混凝土路面。包括处治路面的接缝料损坏、裂缝、坑洞、板角破碎、拱起等局部病害。</w:t>
      </w:r>
    </w:p>
    <w:p w14:paraId="0327E2B6">
      <w:pPr>
        <w:rPr>
          <w:rFonts w:ascii="宋体" w:hAnsi="宋体" w:cs="宋体"/>
          <w:color w:val="auto"/>
          <w:sz w:val="24"/>
          <w:szCs w:val="24"/>
        </w:rPr>
      </w:pPr>
      <w:r>
        <w:rPr>
          <w:rFonts w:hint="eastAsia" w:ascii="宋体" w:hAnsi="宋体" w:cs="宋体"/>
          <w:color w:val="auto"/>
          <w:sz w:val="24"/>
          <w:szCs w:val="24"/>
        </w:rPr>
        <w:t>（3）砂石路面。包括修复路面车辙、坑槽、松散等病害，维护磨耗层、保护层等内容。</w:t>
      </w:r>
    </w:p>
    <w:p w14:paraId="2A6847E7">
      <w:pPr>
        <w:rPr>
          <w:rFonts w:ascii="宋体" w:hAnsi="宋体" w:cs="宋体"/>
          <w:color w:val="auto"/>
          <w:sz w:val="24"/>
          <w:szCs w:val="24"/>
        </w:rPr>
      </w:pPr>
      <w:r>
        <w:rPr>
          <w:rFonts w:hint="eastAsia" w:ascii="宋体" w:hAnsi="宋体" w:cs="宋体"/>
          <w:color w:val="auto"/>
          <w:sz w:val="24"/>
          <w:szCs w:val="24"/>
        </w:rPr>
        <w:t>上述路面局部病害，县道应在7天内，重要乡道在10天内。</w:t>
      </w:r>
    </w:p>
    <w:p w14:paraId="63D61948">
      <w:pPr>
        <w:rPr>
          <w:rFonts w:ascii="宋体" w:hAnsi="宋体" w:cs="宋体"/>
          <w:color w:val="auto"/>
          <w:sz w:val="24"/>
          <w:szCs w:val="24"/>
        </w:rPr>
      </w:pPr>
      <w:r>
        <w:rPr>
          <w:rFonts w:hint="eastAsia" w:ascii="宋体" w:hAnsi="宋体" w:cs="宋体"/>
          <w:color w:val="auto"/>
          <w:sz w:val="24"/>
          <w:szCs w:val="24"/>
        </w:rPr>
        <w:t>3、桥梁、涵洞小修</w:t>
      </w:r>
    </w:p>
    <w:p w14:paraId="00D13747">
      <w:pPr>
        <w:rPr>
          <w:rFonts w:ascii="宋体" w:hAnsi="宋体" w:cs="宋体"/>
          <w:color w:val="auto"/>
          <w:sz w:val="24"/>
          <w:szCs w:val="24"/>
        </w:rPr>
      </w:pPr>
      <w:r>
        <w:rPr>
          <w:rFonts w:hint="eastAsia" w:ascii="宋体" w:hAnsi="宋体" w:cs="宋体"/>
          <w:color w:val="auto"/>
          <w:sz w:val="24"/>
          <w:szCs w:val="24"/>
        </w:rPr>
        <w:t>（1）桥梁。包括处治桥面裂缝、坑槽等病害，清理泄水孔，修补栏杆、人行道、灯柱等，修复墩台基础、锥坡、翼墙等砌体的松动和破损等内容。</w:t>
      </w:r>
    </w:p>
    <w:p w14:paraId="38B67425">
      <w:pPr>
        <w:rPr>
          <w:rFonts w:ascii="宋体" w:hAnsi="宋体" w:cs="宋体"/>
          <w:color w:val="auto"/>
          <w:sz w:val="24"/>
          <w:szCs w:val="24"/>
        </w:rPr>
      </w:pPr>
      <w:r>
        <w:rPr>
          <w:rFonts w:hint="eastAsia" w:ascii="宋体" w:hAnsi="宋体" w:cs="宋体"/>
          <w:color w:val="auto"/>
          <w:sz w:val="24"/>
          <w:szCs w:val="24"/>
        </w:rPr>
        <w:t>（2）涵洞。每年汛期前后对桥梁涵洞进行定期检查维护,检查涵洞和桥梁,保证桥、涵的泄洪能力,发现桥、涵部件破损、基础冲刷、沉陷、裂缝、渗漏水等病害及时处置上报。</w:t>
      </w:r>
    </w:p>
    <w:p w14:paraId="1D073C3A">
      <w:pPr>
        <w:rPr>
          <w:rFonts w:ascii="宋体" w:hAnsi="宋体" w:cs="宋体"/>
          <w:color w:val="auto"/>
          <w:sz w:val="24"/>
          <w:szCs w:val="24"/>
        </w:rPr>
      </w:pPr>
      <w:r>
        <w:rPr>
          <w:rFonts w:hint="eastAsia" w:ascii="宋体" w:hAnsi="宋体" w:cs="宋体"/>
          <w:color w:val="auto"/>
          <w:sz w:val="24"/>
          <w:szCs w:val="24"/>
        </w:rPr>
        <w:t>4、交通工程及沿线设施小修</w:t>
      </w:r>
    </w:p>
    <w:p w14:paraId="3022FDE0">
      <w:pPr>
        <w:rPr>
          <w:rFonts w:ascii="宋体" w:hAnsi="宋体" w:cs="宋体"/>
          <w:color w:val="auto"/>
          <w:sz w:val="24"/>
          <w:szCs w:val="24"/>
        </w:rPr>
      </w:pPr>
      <w:r>
        <w:rPr>
          <w:rFonts w:hint="eastAsia" w:ascii="宋体" w:hAnsi="宋体" w:cs="宋体"/>
          <w:color w:val="auto"/>
          <w:sz w:val="24"/>
          <w:szCs w:val="24"/>
        </w:rPr>
        <w:t>（1）交通安全设施。包括交通标线的局部修复维护，护栏、警示墩的刷漆，里程碑、百米桩的描字，交通安全设施的遮挡处理等内容。保证沿线设施齐全、完好、醒目、美观。</w:t>
      </w:r>
    </w:p>
    <w:p w14:paraId="6F111ED5">
      <w:pPr>
        <w:rPr>
          <w:rFonts w:ascii="宋体" w:hAnsi="宋体" w:cs="宋体"/>
          <w:color w:val="auto"/>
          <w:sz w:val="24"/>
          <w:szCs w:val="24"/>
        </w:rPr>
      </w:pPr>
      <w:r>
        <w:rPr>
          <w:rFonts w:hint="eastAsia" w:ascii="宋体" w:hAnsi="宋体" w:cs="宋体"/>
          <w:color w:val="auto"/>
          <w:sz w:val="24"/>
          <w:szCs w:val="24"/>
        </w:rPr>
        <w:t>（2）沿线设施。应加强对沿线设施的清扫和维护，保持场内环境整洁卫生、设施完好。</w:t>
      </w:r>
    </w:p>
    <w:p w14:paraId="73A50BFD">
      <w:pPr>
        <w:rPr>
          <w:rFonts w:ascii="宋体" w:hAnsi="宋体" w:cs="宋体"/>
          <w:color w:val="auto"/>
          <w:sz w:val="24"/>
          <w:szCs w:val="24"/>
        </w:rPr>
      </w:pPr>
      <w:r>
        <w:rPr>
          <w:rFonts w:hint="eastAsia" w:ascii="宋体" w:hAnsi="宋体" w:cs="宋体"/>
          <w:color w:val="auto"/>
          <w:sz w:val="24"/>
          <w:szCs w:val="24"/>
        </w:rPr>
        <w:t>(3)对警示标志缺损应在2天内进行更换或修复;每半年对路面标线局部划补，确保标线的完整、清晰、无污染无脱落。</w:t>
      </w:r>
    </w:p>
    <w:p w14:paraId="4EC9220B">
      <w:pPr>
        <w:rPr>
          <w:rFonts w:ascii="宋体" w:hAnsi="宋体" w:cs="宋体"/>
          <w:color w:val="auto"/>
          <w:sz w:val="24"/>
          <w:szCs w:val="24"/>
        </w:rPr>
      </w:pPr>
      <w:r>
        <w:rPr>
          <w:rFonts w:hint="eastAsia" w:ascii="宋体" w:hAnsi="宋体" w:cs="宋体"/>
          <w:color w:val="auto"/>
          <w:sz w:val="24"/>
          <w:szCs w:val="24"/>
        </w:rPr>
        <w:t>5、巡查与水毁抢修</w:t>
      </w:r>
    </w:p>
    <w:p w14:paraId="4BBD31A1">
      <w:pPr>
        <w:rPr>
          <w:rFonts w:ascii="宋体" w:hAnsi="宋体" w:cs="宋体"/>
          <w:color w:val="auto"/>
          <w:sz w:val="24"/>
          <w:szCs w:val="24"/>
        </w:rPr>
      </w:pPr>
      <w:r>
        <w:rPr>
          <w:rFonts w:hint="eastAsia" w:ascii="宋体" w:hAnsi="宋体" w:cs="宋体"/>
          <w:color w:val="auto"/>
          <w:sz w:val="24"/>
          <w:szCs w:val="24"/>
        </w:rPr>
        <w:t>坚持日常上路巡查，发现病害及安全隐患及时上报，并做好安全警示；雨雪季节等特殊天气加强巡查的力度，加密重点线路巡查频率，及时疏通排水。清除路面积水、积雪，确保道路安全畅通。</w:t>
      </w:r>
    </w:p>
    <w:p w14:paraId="02E176D7">
      <w:pPr>
        <w:rPr>
          <w:rFonts w:ascii="宋体" w:hAnsi="宋体" w:cs="宋体"/>
          <w:color w:val="auto"/>
          <w:sz w:val="24"/>
          <w:szCs w:val="24"/>
        </w:rPr>
      </w:pPr>
      <w:r>
        <w:rPr>
          <w:rFonts w:hint="eastAsia" w:ascii="宋体" w:hAnsi="宋体" w:cs="宋体"/>
          <w:color w:val="auto"/>
          <w:sz w:val="24"/>
          <w:szCs w:val="24"/>
        </w:rPr>
        <w:t>坚持季节性集中整治工作。</w:t>
      </w:r>
    </w:p>
    <w:p w14:paraId="0C6674BC">
      <w:pPr>
        <w:pStyle w:val="6"/>
        <w:spacing w:beforeAutospacing="0" w:afterAutospacing="0"/>
        <w:rPr>
          <w:rFonts w:hint="default" w:cs="宋体"/>
          <w:color w:val="auto"/>
        </w:rPr>
      </w:pPr>
      <w:r>
        <w:rPr>
          <w:rFonts w:cs="宋体"/>
          <w:color w:val="auto"/>
        </w:rPr>
        <w:t>七、其他要求</w:t>
      </w:r>
    </w:p>
    <w:p w14:paraId="79B6C093">
      <w:pPr>
        <w:rPr>
          <w:color w:val="auto"/>
          <w:sz w:val="24"/>
          <w:szCs w:val="24"/>
        </w:rPr>
      </w:pPr>
      <w:r>
        <w:rPr>
          <w:rFonts w:hint="eastAsia" w:ascii="宋体" w:hAnsi="宋体" w:cs="宋体"/>
          <w:color w:val="auto"/>
          <w:sz w:val="24"/>
          <w:szCs w:val="24"/>
        </w:rPr>
        <w:t>（1）养护公司</w:t>
      </w:r>
      <w:r>
        <w:rPr>
          <w:rFonts w:hint="eastAsia"/>
          <w:color w:val="auto"/>
          <w:sz w:val="24"/>
          <w:szCs w:val="24"/>
        </w:rPr>
        <w:t>应按照委托人的规定做好各项内业资料，养护巡查资料、道工出勤记录、工作安排记录、养护道工作业、工资支付情况表，每季度上报委托人作为检查考核的部分依据。</w:t>
      </w:r>
    </w:p>
    <w:p w14:paraId="231B2204">
      <w:pPr>
        <w:rPr>
          <w:rFonts w:ascii="宋体" w:hAnsi="宋体" w:cs="宋体"/>
          <w:color w:val="auto"/>
          <w:sz w:val="24"/>
          <w:szCs w:val="24"/>
        </w:rPr>
      </w:pPr>
      <w:r>
        <w:rPr>
          <w:rFonts w:hint="eastAsia" w:ascii="宋体" w:hAnsi="宋体" w:cs="宋体"/>
          <w:color w:val="auto"/>
          <w:sz w:val="24"/>
          <w:szCs w:val="24"/>
        </w:rPr>
        <w:t>（2）养护公司应加强对承养路段的日常巡查，在巡查中发现的重大安全隐患、地质灾害、雨季水毁中断交通或即将中断交通的，应在第一时间向委托人汇报，并立即组织人力机械设备做好安全警示、交通管制、及恢复抢通工作。</w:t>
      </w:r>
    </w:p>
    <w:p w14:paraId="4DB69CC7">
      <w:pPr>
        <w:rPr>
          <w:rFonts w:ascii="宋体" w:hAnsi="宋体" w:cs="宋体"/>
          <w:color w:val="auto"/>
          <w:sz w:val="24"/>
          <w:szCs w:val="24"/>
        </w:rPr>
      </w:pPr>
      <w:r>
        <w:rPr>
          <w:rFonts w:hint="eastAsia" w:ascii="宋体" w:hAnsi="宋体" w:cs="宋体"/>
          <w:color w:val="auto"/>
          <w:sz w:val="24"/>
          <w:szCs w:val="24"/>
        </w:rPr>
        <w:t>（3）养护公司应对损坏、侵害公路路产的事案要及时制止，对安装非公路标牌、架（埋）设杆（管）线、移（挪）动公路附属设施、开设平交道口、砍伐树木、损坏草坪、违章建筑、以及从事危害公路桥梁安全活动的事件，要及时制止并同时报告委托人和交通综合执法大队或相关单位，并协助处理，防止损坏、侵害路产的行为进一步扩大，如不及时报告和制止，委托人要对养护公司采取相应的经济处罚。</w:t>
      </w:r>
    </w:p>
    <w:p w14:paraId="63215BD6">
      <w:pPr>
        <w:rPr>
          <w:rFonts w:ascii="宋体" w:hAnsi="宋体" w:cs="宋体"/>
          <w:color w:val="auto"/>
          <w:sz w:val="24"/>
          <w:szCs w:val="24"/>
        </w:rPr>
      </w:pPr>
      <w:r>
        <w:rPr>
          <w:rFonts w:hint="eastAsia" w:ascii="宋体" w:hAnsi="宋体" w:cs="宋体"/>
          <w:color w:val="auto"/>
          <w:sz w:val="24"/>
          <w:szCs w:val="24"/>
        </w:rPr>
        <w:t>（4）管养线路实行全面禁烧作业。对发现路域范围内发生焚烧现象的对养护公司予以处罚。非养护人员发生焚烧现象的每次罚款100元，养护人员进行焚烧的每次罚款500元。因路域范围内发生焚烧现象造成严重后果的，实行一票否决，并处罚款。因焚烧造成财产损失的由责任养护公司承担。 触犯法律责任的，承担相应的法律责任。</w:t>
      </w:r>
    </w:p>
    <w:p w14:paraId="02CFD6FD">
      <w:pPr>
        <w:rPr>
          <w:rFonts w:ascii="宋体" w:hAnsi="宋体" w:cs="宋体"/>
          <w:color w:val="auto"/>
          <w:sz w:val="24"/>
          <w:szCs w:val="24"/>
        </w:rPr>
      </w:pPr>
      <w:r>
        <w:rPr>
          <w:rFonts w:hint="eastAsia" w:ascii="宋体" w:hAnsi="宋体" w:cs="宋体"/>
          <w:color w:val="auto"/>
          <w:sz w:val="24"/>
          <w:szCs w:val="24"/>
        </w:rPr>
        <w:t>（5）在市、区季度考核时，如因被检查线路的养护工作不到位而影响我区的养护质量被扣分，或者单项工作被通报后，委托人将从养护公司履约保证金及养护承包费中扣除，并涉及处罚期限合同价款</w:t>
      </w:r>
      <w:r>
        <w:rPr>
          <w:rFonts w:hint="eastAsia" w:ascii="宋体" w:hAnsi="宋体" w:cs="宋体"/>
          <w:color w:val="auto"/>
          <w:sz w:val="24"/>
          <w:szCs w:val="24"/>
        </w:rPr>
        <w:t>最高</w:t>
      </w:r>
      <w:r>
        <w:rPr>
          <w:rFonts w:hint="eastAsia" w:ascii="宋体" w:hAnsi="宋体" w:cs="宋体"/>
          <w:color w:val="auto"/>
          <w:sz w:val="24"/>
          <w:szCs w:val="24"/>
        </w:rPr>
        <w:t>10%的罚款。</w:t>
      </w:r>
    </w:p>
    <w:p w14:paraId="67AB8B46">
      <w:pPr>
        <w:rPr>
          <w:rFonts w:ascii="宋体" w:hAnsi="宋体" w:cs="宋体"/>
          <w:color w:val="auto"/>
          <w:sz w:val="24"/>
          <w:szCs w:val="24"/>
        </w:rPr>
      </w:pPr>
      <w:r>
        <w:rPr>
          <w:rFonts w:hint="eastAsia" w:ascii="宋体" w:hAnsi="宋体" w:cs="宋体"/>
          <w:color w:val="auto"/>
          <w:sz w:val="24"/>
          <w:szCs w:val="24"/>
        </w:rPr>
        <w:t>（6）养护公司必须按照委托人的规定确定各条线路的最少养护作业人员，并上报委托人备案；养护公司应制定不少于委托人规定的最少作业次数。若在日常巡查或月度检查中发现该路段在正常养护期间路上无人养护作业，每人次扣罚养护公司100元；养护道工上路作业必须穿戴养护标志服，在日常巡查、月度检查中若发现养护道工不穿戴养护标志服，每人次扣罚养护公司20元。</w:t>
      </w:r>
    </w:p>
    <w:p w14:paraId="7205D9BA">
      <w:pPr>
        <w:rPr>
          <w:rFonts w:ascii="宋体" w:hAnsi="宋体" w:cs="宋体"/>
          <w:color w:val="auto"/>
          <w:sz w:val="24"/>
          <w:szCs w:val="24"/>
        </w:rPr>
      </w:pPr>
      <w:r>
        <w:rPr>
          <w:rFonts w:hint="eastAsia" w:ascii="宋体" w:hAnsi="宋体" w:cs="宋体"/>
          <w:color w:val="auto"/>
          <w:sz w:val="24"/>
          <w:szCs w:val="24"/>
        </w:rPr>
        <w:t>（7）养护公司法定代表人应高度重视与委托人签订合同的履行，经常性从事养护生产管理工作，按委托人要求参加委托人组织的养护检查和例会。养护公司法人必须亲自参加每月由委托人组织的养护质量检查。在上级检查时，如委托人通知养护公司法人参加，养护公司法人必须参加。如养护公司法人无故不参加委托人组织的检查、会议等需要养护公司参加的工作活动，每缺席一次从当月养护费用中处罚200元；养护公司法人确实因故不能参加的，报请委托人同意后可委托专职管理人员参加，但要从当月养护费用中每次扣除100元。</w:t>
      </w:r>
    </w:p>
    <w:p w14:paraId="5C0521FB">
      <w:pPr>
        <w:pStyle w:val="6"/>
        <w:spacing w:beforeAutospacing="0" w:afterAutospacing="0"/>
        <w:rPr>
          <w:rFonts w:hint="default" w:cs="宋体"/>
          <w:color w:val="auto"/>
        </w:rPr>
      </w:pPr>
      <w:r>
        <w:rPr>
          <w:rFonts w:cs="宋体"/>
          <w:color w:val="auto"/>
        </w:rPr>
        <w:t>八、养护费用</w:t>
      </w:r>
      <w:bookmarkEnd w:id="42"/>
      <w:r>
        <w:rPr>
          <w:rFonts w:cs="宋体"/>
          <w:color w:val="auto"/>
        </w:rPr>
        <w:t>及支付方式</w:t>
      </w:r>
      <w:bookmarkEnd w:id="43"/>
      <w:bookmarkEnd w:id="44"/>
    </w:p>
    <w:p w14:paraId="5670AF47">
      <w:pPr>
        <w:rPr>
          <w:rFonts w:ascii="宋体" w:hAnsi="宋体" w:cs="宋体"/>
          <w:color w:val="auto"/>
          <w:sz w:val="24"/>
          <w:szCs w:val="24"/>
        </w:rPr>
      </w:pPr>
      <w:r>
        <w:rPr>
          <w:rFonts w:hint="eastAsia" w:ascii="宋体" w:hAnsi="宋体" w:cs="宋体"/>
          <w:color w:val="auto"/>
          <w:sz w:val="24"/>
          <w:szCs w:val="24"/>
        </w:rPr>
        <w:t>1、本项目养护费用总费用为人民币（大写）：元，￥。</w:t>
      </w:r>
    </w:p>
    <w:p w14:paraId="251698D7">
      <w:pPr>
        <w:rPr>
          <w:rFonts w:ascii="宋体" w:hAnsi="宋体" w:cs="宋体"/>
          <w:color w:val="auto"/>
          <w:sz w:val="24"/>
          <w:szCs w:val="24"/>
        </w:rPr>
      </w:pPr>
      <w:r>
        <w:rPr>
          <w:rFonts w:hint="eastAsia" w:ascii="宋体" w:hAnsi="宋体" w:cs="宋体"/>
          <w:color w:val="auto"/>
          <w:sz w:val="24"/>
          <w:szCs w:val="24"/>
        </w:rPr>
        <w:t>2、将按照《汉中市农村公路养护管理指导意见》和考核办法，每个月对养护路线进行检查考核，根据考核结果和农村公路管理站每月检查情况得分，根据得分确定每月核定月度养护支付的费用，季度支付兑现养护费用。</w:t>
      </w:r>
    </w:p>
    <w:p w14:paraId="06057B93">
      <w:pPr>
        <w:jc w:val="center"/>
        <w:rPr>
          <w:rFonts w:ascii="宋体" w:hAnsi="宋体" w:cs="宋体"/>
          <w:color w:val="auto"/>
          <w:sz w:val="24"/>
          <w:szCs w:val="24"/>
        </w:rPr>
      </w:pPr>
      <w:r>
        <w:rPr>
          <w:rFonts w:hint="eastAsia" w:ascii="宋体" w:hAnsi="宋体" w:cs="宋体"/>
          <w:color w:val="auto"/>
          <w:sz w:val="24"/>
          <w:szCs w:val="24"/>
        </w:rPr>
        <w:t>养护资金兑付比例明细表</w:t>
      </w:r>
    </w:p>
    <w:tbl>
      <w:tblPr>
        <w:tblStyle w:val="23"/>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075"/>
        <w:gridCol w:w="4160"/>
        <w:gridCol w:w="1337"/>
      </w:tblGrid>
      <w:tr w14:paraId="748EF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ign w:val="center"/>
          </w:tcPr>
          <w:p w14:paraId="6C32D3A7">
            <w:pPr>
              <w:wordWrap w:val="0"/>
              <w:jc w:val="center"/>
              <w:rPr>
                <w:rFonts w:ascii="宋体" w:hAnsi="宋体" w:cs="宋体"/>
                <w:color w:val="auto"/>
                <w:sz w:val="24"/>
                <w:szCs w:val="24"/>
              </w:rPr>
            </w:pPr>
            <w:r>
              <w:rPr>
                <w:rFonts w:hint="eastAsia" w:ascii="宋体" w:hAnsi="宋体" w:cs="宋体"/>
                <w:color w:val="auto"/>
                <w:sz w:val="24"/>
                <w:szCs w:val="24"/>
              </w:rPr>
              <w:t>序号</w:t>
            </w:r>
          </w:p>
        </w:tc>
        <w:tc>
          <w:tcPr>
            <w:tcW w:w="2075" w:type="dxa"/>
            <w:noWrap/>
            <w:vAlign w:val="center"/>
          </w:tcPr>
          <w:p w14:paraId="550E487F">
            <w:pPr>
              <w:wordWrap w:val="0"/>
              <w:jc w:val="center"/>
              <w:rPr>
                <w:rFonts w:ascii="宋体" w:hAnsi="宋体" w:cs="宋体"/>
                <w:color w:val="auto"/>
                <w:sz w:val="24"/>
                <w:szCs w:val="24"/>
              </w:rPr>
            </w:pPr>
            <w:r>
              <w:rPr>
                <w:rFonts w:hint="eastAsia" w:ascii="宋体" w:hAnsi="宋体" w:cs="宋体"/>
                <w:color w:val="auto"/>
                <w:sz w:val="24"/>
                <w:szCs w:val="24"/>
              </w:rPr>
              <w:t>考核得分E</w:t>
            </w:r>
          </w:p>
        </w:tc>
        <w:tc>
          <w:tcPr>
            <w:tcW w:w="4160" w:type="dxa"/>
            <w:noWrap/>
            <w:vAlign w:val="center"/>
          </w:tcPr>
          <w:p w14:paraId="18ECB48E">
            <w:pPr>
              <w:wordWrap w:val="0"/>
              <w:jc w:val="center"/>
              <w:rPr>
                <w:rFonts w:ascii="宋体" w:hAnsi="宋体" w:cs="宋体"/>
                <w:color w:val="auto"/>
                <w:sz w:val="24"/>
                <w:szCs w:val="24"/>
              </w:rPr>
            </w:pPr>
            <w:r>
              <w:rPr>
                <w:rFonts w:hint="eastAsia" w:ascii="宋体" w:hAnsi="宋体" w:cs="宋体"/>
                <w:color w:val="auto"/>
                <w:sz w:val="24"/>
                <w:szCs w:val="24"/>
              </w:rPr>
              <w:t>养护资金兑付比例</w:t>
            </w:r>
          </w:p>
        </w:tc>
        <w:tc>
          <w:tcPr>
            <w:tcW w:w="1337" w:type="dxa"/>
            <w:noWrap/>
            <w:vAlign w:val="center"/>
          </w:tcPr>
          <w:p w14:paraId="2C505709">
            <w:pPr>
              <w:wordWrap w:val="0"/>
              <w:jc w:val="center"/>
              <w:rPr>
                <w:rFonts w:ascii="宋体" w:hAnsi="宋体" w:cs="宋体"/>
                <w:color w:val="auto"/>
                <w:sz w:val="24"/>
                <w:szCs w:val="24"/>
              </w:rPr>
            </w:pPr>
            <w:r>
              <w:rPr>
                <w:rFonts w:hint="eastAsia" w:ascii="宋体" w:hAnsi="宋体" w:cs="宋体"/>
                <w:color w:val="auto"/>
                <w:sz w:val="24"/>
                <w:szCs w:val="24"/>
              </w:rPr>
              <w:t>备注</w:t>
            </w:r>
          </w:p>
        </w:tc>
      </w:tr>
      <w:tr w14:paraId="0256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ign w:val="center"/>
          </w:tcPr>
          <w:p w14:paraId="17703BA6">
            <w:pPr>
              <w:wordWrap w:val="0"/>
              <w:jc w:val="center"/>
              <w:rPr>
                <w:rFonts w:ascii="宋体" w:hAnsi="宋体" w:cs="宋体"/>
                <w:color w:val="auto"/>
                <w:sz w:val="24"/>
                <w:szCs w:val="24"/>
              </w:rPr>
            </w:pPr>
            <w:r>
              <w:rPr>
                <w:rFonts w:hint="eastAsia" w:ascii="宋体" w:hAnsi="宋体" w:cs="宋体"/>
                <w:color w:val="auto"/>
                <w:sz w:val="24"/>
                <w:szCs w:val="24"/>
              </w:rPr>
              <w:t>1</w:t>
            </w:r>
          </w:p>
        </w:tc>
        <w:tc>
          <w:tcPr>
            <w:tcW w:w="2075" w:type="dxa"/>
            <w:noWrap/>
            <w:vAlign w:val="center"/>
          </w:tcPr>
          <w:p w14:paraId="48B2763C">
            <w:pPr>
              <w:wordWrap w:val="0"/>
              <w:jc w:val="center"/>
              <w:rPr>
                <w:rFonts w:ascii="宋体" w:hAnsi="宋体" w:cs="宋体"/>
                <w:color w:val="auto"/>
                <w:sz w:val="24"/>
                <w:szCs w:val="24"/>
              </w:rPr>
            </w:pPr>
            <w:r>
              <w:rPr>
                <w:rFonts w:hint="eastAsia" w:ascii="宋体" w:hAnsi="宋体" w:cs="宋体"/>
                <w:color w:val="auto"/>
                <w:sz w:val="24"/>
                <w:szCs w:val="24"/>
              </w:rPr>
              <w:t>85&lt;E≤100分</w:t>
            </w:r>
          </w:p>
        </w:tc>
        <w:tc>
          <w:tcPr>
            <w:tcW w:w="4160" w:type="dxa"/>
            <w:noWrap/>
            <w:vAlign w:val="center"/>
          </w:tcPr>
          <w:p w14:paraId="27D3BC7D">
            <w:pPr>
              <w:wordWrap w:val="0"/>
              <w:jc w:val="center"/>
              <w:rPr>
                <w:rFonts w:ascii="宋体" w:hAnsi="宋体" w:cs="宋体"/>
                <w:color w:val="auto"/>
                <w:sz w:val="24"/>
                <w:szCs w:val="24"/>
              </w:rPr>
            </w:pPr>
            <w:r>
              <w:rPr>
                <w:rFonts w:hint="eastAsia" w:ascii="宋体" w:hAnsi="宋体" w:cs="宋体"/>
                <w:color w:val="auto"/>
                <w:sz w:val="24"/>
                <w:szCs w:val="24"/>
              </w:rPr>
              <w:t>全额兑付</w:t>
            </w:r>
          </w:p>
        </w:tc>
        <w:tc>
          <w:tcPr>
            <w:tcW w:w="1337" w:type="dxa"/>
            <w:noWrap/>
            <w:vAlign w:val="center"/>
          </w:tcPr>
          <w:p w14:paraId="788681AC">
            <w:pPr>
              <w:wordWrap w:val="0"/>
              <w:jc w:val="center"/>
              <w:rPr>
                <w:rFonts w:ascii="宋体" w:hAnsi="宋体" w:cs="宋体"/>
                <w:color w:val="auto"/>
                <w:sz w:val="24"/>
                <w:szCs w:val="24"/>
              </w:rPr>
            </w:pPr>
          </w:p>
        </w:tc>
      </w:tr>
      <w:tr w14:paraId="77FB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ign w:val="center"/>
          </w:tcPr>
          <w:p w14:paraId="50ED9FE7">
            <w:pPr>
              <w:wordWrap w:val="0"/>
              <w:jc w:val="center"/>
              <w:rPr>
                <w:rFonts w:ascii="宋体" w:hAnsi="宋体" w:cs="宋体"/>
                <w:color w:val="auto"/>
                <w:sz w:val="24"/>
                <w:szCs w:val="24"/>
              </w:rPr>
            </w:pPr>
            <w:r>
              <w:rPr>
                <w:rFonts w:hint="eastAsia" w:ascii="宋体" w:hAnsi="宋体" w:cs="宋体"/>
                <w:color w:val="auto"/>
                <w:sz w:val="24"/>
                <w:szCs w:val="24"/>
              </w:rPr>
              <w:t>2</w:t>
            </w:r>
          </w:p>
        </w:tc>
        <w:tc>
          <w:tcPr>
            <w:tcW w:w="2075" w:type="dxa"/>
            <w:noWrap/>
            <w:vAlign w:val="center"/>
          </w:tcPr>
          <w:p w14:paraId="57809260">
            <w:pPr>
              <w:wordWrap w:val="0"/>
              <w:jc w:val="center"/>
              <w:rPr>
                <w:rFonts w:ascii="宋体" w:hAnsi="宋体" w:cs="宋体"/>
                <w:color w:val="auto"/>
                <w:sz w:val="24"/>
                <w:szCs w:val="24"/>
              </w:rPr>
            </w:pPr>
            <w:r>
              <w:rPr>
                <w:rFonts w:hint="eastAsia" w:ascii="宋体" w:hAnsi="宋体" w:cs="宋体"/>
                <w:color w:val="auto"/>
                <w:sz w:val="24"/>
                <w:szCs w:val="24"/>
              </w:rPr>
              <w:t>70&lt;E≤85分</w:t>
            </w:r>
          </w:p>
        </w:tc>
        <w:tc>
          <w:tcPr>
            <w:tcW w:w="4160" w:type="dxa"/>
            <w:noWrap/>
            <w:vAlign w:val="center"/>
          </w:tcPr>
          <w:p w14:paraId="57B59869">
            <w:pPr>
              <w:wordWrap w:val="0"/>
              <w:jc w:val="center"/>
              <w:rPr>
                <w:rFonts w:ascii="宋体" w:hAnsi="宋体" w:cs="宋体"/>
                <w:color w:val="auto"/>
                <w:sz w:val="24"/>
                <w:szCs w:val="24"/>
              </w:rPr>
            </w:pPr>
            <w:r>
              <w:rPr>
                <w:rFonts w:hint="eastAsia" w:ascii="宋体" w:hAnsi="宋体" w:cs="宋体"/>
                <w:color w:val="auto"/>
                <w:sz w:val="24"/>
                <w:szCs w:val="24"/>
              </w:rPr>
              <w:t>兑付养护资金的90%</w:t>
            </w:r>
          </w:p>
        </w:tc>
        <w:tc>
          <w:tcPr>
            <w:tcW w:w="1337" w:type="dxa"/>
            <w:noWrap/>
            <w:vAlign w:val="center"/>
          </w:tcPr>
          <w:p w14:paraId="44C3FBE6">
            <w:pPr>
              <w:wordWrap w:val="0"/>
              <w:jc w:val="center"/>
              <w:rPr>
                <w:rFonts w:ascii="宋体" w:hAnsi="宋体" w:cs="宋体"/>
                <w:color w:val="auto"/>
                <w:sz w:val="24"/>
                <w:szCs w:val="24"/>
              </w:rPr>
            </w:pPr>
          </w:p>
        </w:tc>
      </w:tr>
      <w:tr w14:paraId="4193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ign w:val="center"/>
          </w:tcPr>
          <w:p w14:paraId="7B80118E">
            <w:pPr>
              <w:wordWrap w:val="0"/>
              <w:jc w:val="center"/>
              <w:rPr>
                <w:rFonts w:ascii="宋体" w:hAnsi="宋体" w:cs="宋体"/>
                <w:color w:val="auto"/>
                <w:sz w:val="24"/>
                <w:szCs w:val="24"/>
              </w:rPr>
            </w:pPr>
            <w:r>
              <w:rPr>
                <w:rFonts w:hint="eastAsia" w:ascii="宋体" w:hAnsi="宋体" w:cs="宋体"/>
                <w:color w:val="auto"/>
                <w:sz w:val="24"/>
                <w:szCs w:val="24"/>
              </w:rPr>
              <w:t>3</w:t>
            </w:r>
          </w:p>
        </w:tc>
        <w:tc>
          <w:tcPr>
            <w:tcW w:w="2075" w:type="dxa"/>
            <w:noWrap/>
            <w:vAlign w:val="center"/>
          </w:tcPr>
          <w:p w14:paraId="1752C431">
            <w:pPr>
              <w:wordWrap w:val="0"/>
              <w:jc w:val="center"/>
              <w:rPr>
                <w:rFonts w:ascii="宋体" w:hAnsi="宋体" w:cs="宋体"/>
                <w:color w:val="auto"/>
                <w:sz w:val="24"/>
                <w:szCs w:val="24"/>
              </w:rPr>
            </w:pPr>
            <w:r>
              <w:rPr>
                <w:rFonts w:hint="eastAsia" w:ascii="宋体" w:hAnsi="宋体" w:cs="宋体"/>
                <w:color w:val="auto"/>
                <w:sz w:val="24"/>
                <w:szCs w:val="24"/>
              </w:rPr>
              <w:t>60≤E≤70分</w:t>
            </w:r>
          </w:p>
        </w:tc>
        <w:tc>
          <w:tcPr>
            <w:tcW w:w="4160" w:type="dxa"/>
            <w:noWrap/>
            <w:vAlign w:val="center"/>
          </w:tcPr>
          <w:p w14:paraId="0BDDF521">
            <w:pPr>
              <w:wordWrap w:val="0"/>
              <w:jc w:val="center"/>
              <w:rPr>
                <w:rFonts w:ascii="宋体" w:hAnsi="宋体" w:cs="宋体"/>
                <w:color w:val="auto"/>
                <w:sz w:val="24"/>
                <w:szCs w:val="24"/>
              </w:rPr>
            </w:pPr>
            <w:r>
              <w:rPr>
                <w:rFonts w:hint="eastAsia" w:ascii="宋体" w:hAnsi="宋体" w:cs="宋体"/>
                <w:color w:val="auto"/>
                <w:sz w:val="24"/>
                <w:szCs w:val="24"/>
              </w:rPr>
              <w:t>兑付养护资金的80%</w:t>
            </w:r>
          </w:p>
        </w:tc>
        <w:tc>
          <w:tcPr>
            <w:tcW w:w="1337" w:type="dxa"/>
            <w:noWrap/>
            <w:vAlign w:val="center"/>
          </w:tcPr>
          <w:p w14:paraId="3EFA07BE">
            <w:pPr>
              <w:wordWrap w:val="0"/>
              <w:jc w:val="center"/>
              <w:rPr>
                <w:rFonts w:ascii="宋体" w:hAnsi="宋体" w:cs="宋体"/>
                <w:color w:val="auto"/>
                <w:sz w:val="24"/>
                <w:szCs w:val="24"/>
              </w:rPr>
            </w:pPr>
          </w:p>
        </w:tc>
      </w:tr>
      <w:tr w14:paraId="19F6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2" w:type="dxa"/>
            <w:noWrap/>
            <w:vAlign w:val="center"/>
          </w:tcPr>
          <w:p w14:paraId="19180167">
            <w:pPr>
              <w:wordWrap w:val="0"/>
              <w:jc w:val="center"/>
              <w:rPr>
                <w:rFonts w:ascii="宋体" w:hAnsi="宋体" w:cs="宋体"/>
                <w:color w:val="auto"/>
                <w:sz w:val="24"/>
                <w:szCs w:val="24"/>
              </w:rPr>
            </w:pPr>
            <w:r>
              <w:rPr>
                <w:rFonts w:hint="eastAsia" w:ascii="宋体" w:hAnsi="宋体" w:cs="宋体"/>
                <w:color w:val="auto"/>
                <w:sz w:val="24"/>
                <w:szCs w:val="24"/>
              </w:rPr>
              <w:t>4</w:t>
            </w:r>
          </w:p>
        </w:tc>
        <w:tc>
          <w:tcPr>
            <w:tcW w:w="2075" w:type="dxa"/>
            <w:noWrap/>
            <w:vAlign w:val="center"/>
          </w:tcPr>
          <w:p w14:paraId="57AA6987">
            <w:pPr>
              <w:wordWrap w:val="0"/>
              <w:jc w:val="center"/>
              <w:rPr>
                <w:rFonts w:ascii="宋体" w:hAnsi="宋体" w:cs="宋体"/>
                <w:color w:val="auto"/>
                <w:sz w:val="24"/>
                <w:szCs w:val="24"/>
              </w:rPr>
            </w:pPr>
            <w:r>
              <w:rPr>
                <w:rFonts w:hint="eastAsia" w:ascii="宋体" w:hAnsi="宋体" w:cs="宋体"/>
                <w:color w:val="auto"/>
                <w:sz w:val="24"/>
                <w:szCs w:val="24"/>
              </w:rPr>
              <w:t>E&lt;60分</w:t>
            </w:r>
          </w:p>
        </w:tc>
        <w:tc>
          <w:tcPr>
            <w:tcW w:w="4160" w:type="dxa"/>
            <w:noWrap/>
            <w:vAlign w:val="center"/>
          </w:tcPr>
          <w:p w14:paraId="4E81AB58">
            <w:pPr>
              <w:wordWrap w:val="0"/>
              <w:jc w:val="center"/>
              <w:rPr>
                <w:rFonts w:ascii="宋体" w:hAnsi="宋体" w:cs="宋体"/>
                <w:color w:val="auto"/>
                <w:sz w:val="24"/>
                <w:szCs w:val="24"/>
              </w:rPr>
            </w:pPr>
            <w:r>
              <w:rPr>
                <w:rFonts w:hint="eastAsia" w:ascii="宋体" w:hAnsi="宋体" w:cs="宋体"/>
                <w:color w:val="auto"/>
                <w:sz w:val="24"/>
                <w:szCs w:val="24"/>
              </w:rPr>
              <w:t>兑付养护资金的50%，并且解除合同</w:t>
            </w:r>
          </w:p>
        </w:tc>
        <w:tc>
          <w:tcPr>
            <w:tcW w:w="1337" w:type="dxa"/>
            <w:noWrap/>
            <w:vAlign w:val="center"/>
          </w:tcPr>
          <w:p w14:paraId="74AA24E7">
            <w:pPr>
              <w:wordWrap w:val="0"/>
              <w:jc w:val="center"/>
              <w:rPr>
                <w:rFonts w:ascii="宋体" w:hAnsi="宋体" w:cs="宋体"/>
                <w:color w:val="auto"/>
                <w:sz w:val="24"/>
                <w:szCs w:val="24"/>
              </w:rPr>
            </w:pPr>
          </w:p>
        </w:tc>
      </w:tr>
    </w:tbl>
    <w:p w14:paraId="4272B231">
      <w:pPr>
        <w:rPr>
          <w:rFonts w:ascii="宋体" w:hAnsi="宋体" w:cs="宋体"/>
          <w:color w:val="auto"/>
          <w:sz w:val="24"/>
          <w:szCs w:val="24"/>
        </w:rPr>
      </w:pPr>
      <w:r>
        <w:rPr>
          <w:rFonts w:hint="eastAsia" w:ascii="宋体" w:hAnsi="宋体" w:cs="宋体"/>
          <w:color w:val="auto"/>
          <w:sz w:val="24"/>
          <w:szCs w:val="24"/>
        </w:rPr>
        <w:t>3、养护公司开票，由委托人银行转账支付。</w:t>
      </w:r>
    </w:p>
    <w:p w14:paraId="79CB6D49">
      <w:pPr>
        <w:pStyle w:val="6"/>
        <w:spacing w:beforeAutospacing="0" w:afterAutospacing="0"/>
        <w:rPr>
          <w:rFonts w:hint="default" w:cs="宋体"/>
          <w:color w:val="auto"/>
        </w:rPr>
      </w:pPr>
      <w:bookmarkStart w:id="45" w:name="_Toc20713"/>
      <w:bookmarkStart w:id="46" w:name="_Toc12181"/>
      <w:bookmarkStart w:id="47" w:name="_Toc30699"/>
      <w:r>
        <w:rPr>
          <w:rFonts w:cs="宋体"/>
          <w:color w:val="auto"/>
        </w:rPr>
        <w:t>九、委托人的权利和义务</w:t>
      </w:r>
      <w:bookmarkEnd w:id="45"/>
      <w:bookmarkEnd w:id="46"/>
      <w:bookmarkEnd w:id="47"/>
    </w:p>
    <w:p w14:paraId="079EEB17">
      <w:pPr>
        <w:rPr>
          <w:rFonts w:ascii="宋体" w:hAnsi="宋体" w:cs="宋体"/>
          <w:color w:val="auto"/>
          <w:sz w:val="24"/>
          <w:szCs w:val="24"/>
        </w:rPr>
      </w:pPr>
      <w:r>
        <w:rPr>
          <w:rFonts w:hint="eastAsia" w:ascii="宋体" w:hAnsi="宋体" w:cs="宋体"/>
          <w:color w:val="auto"/>
          <w:sz w:val="24"/>
          <w:szCs w:val="24"/>
        </w:rPr>
        <w:t>1、委托人有权对合同规定范围内养护公司的服务行为进行监督和检查，拥有监管权。有权定期核对养护公司提供服务所配备的人员数量。对委托人认为不合理的部分有权下达整改通知书，并要求养护公司限期整改。</w:t>
      </w:r>
    </w:p>
    <w:p w14:paraId="446706C0">
      <w:pPr>
        <w:rPr>
          <w:rFonts w:ascii="宋体" w:hAnsi="宋体" w:cs="宋体"/>
          <w:color w:val="auto"/>
          <w:sz w:val="24"/>
          <w:szCs w:val="24"/>
        </w:rPr>
      </w:pPr>
      <w:r>
        <w:rPr>
          <w:rFonts w:hint="eastAsia" w:ascii="宋体" w:hAnsi="宋体" w:cs="宋体"/>
          <w:color w:val="auto"/>
          <w:sz w:val="24"/>
          <w:szCs w:val="24"/>
        </w:rPr>
        <w:t>2、委托人有权依据双方签订的考评办法对养护公司提供的服务进行定期考评。当考评结果未达到标准时，有权依据考评办法约定的数额扣除履约保证金。</w:t>
      </w:r>
    </w:p>
    <w:p w14:paraId="6D4506EE">
      <w:pPr>
        <w:rPr>
          <w:rFonts w:ascii="宋体" w:hAnsi="宋体" w:cs="宋体"/>
          <w:color w:val="auto"/>
          <w:sz w:val="24"/>
          <w:szCs w:val="24"/>
        </w:rPr>
      </w:pPr>
      <w:r>
        <w:rPr>
          <w:rFonts w:hint="eastAsia" w:ascii="宋体" w:hAnsi="宋体" w:cs="宋体"/>
          <w:color w:val="auto"/>
          <w:sz w:val="24"/>
          <w:szCs w:val="24"/>
        </w:rPr>
        <w:t>3、负责检查监督养护公司管理工作的实施及制度的执行情况。</w:t>
      </w:r>
    </w:p>
    <w:p w14:paraId="27BF9212">
      <w:pPr>
        <w:rPr>
          <w:rFonts w:ascii="宋体" w:hAnsi="宋体" w:cs="宋体"/>
          <w:color w:val="auto"/>
          <w:sz w:val="24"/>
          <w:szCs w:val="24"/>
        </w:rPr>
      </w:pPr>
      <w:r>
        <w:rPr>
          <w:rFonts w:hint="eastAsia" w:ascii="宋体" w:hAnsi="宋体" w:cs="宋体"/>
          <w:color w:val="auto"/>
          <w:sz w:val="24"/>
          <w:szCs w:val="24"/>
        </w:rPr>
        <w:t>4、向养护公司提供有关的技术资料。</w:t>
      </w:r>
    </w:p>
    <w:p w14:paraId="03BCAD95">
      <w:pPr>
        <w:rPr>
          <w:rFonts w:ascii="宋体" w:hAnsi="宋体" w:cs="宋体"/>
          <w:color w:val="auto"/>
          <w:sz w:val="24"/>
          <w:szCs w:val="24"/>
        </w:rPr>
      </w:pPr>
      <w:r>
        <w:rPr>
          <w:rFonts w:hint="eastAsia" w:ascii="宋体" w:hAnsi="宋体" w:cs="宋体"/>
          <w:color w:val="auto"/>
          <w:sz w:val="24"/>
          <w:szCs w:val="24"/>
        </w:rPr>
        <w:t>5、根据本合同规定，按时向养护公司支付应付服务费用。</w:t>
      </w:r>
    </w:p>
    <w:p w14:paraId="3415CCDE">
      <w:pPr>
        <w:rPr>
          <w:rFonts w:ascii="宋体" w:hAnsi="宋体" w:cs="宋体"/>
          <w:color w:val="auto"/>
          <w:sz w:val="24"/>
          <w:szCs w:val="24"/>
        </w:rPr>
      </w:pPr>
      <w:r>
        <w:rPr>
          <w:rFonts w:hint="eastAsia" w:ascii="宋体" w:hAnsi="宋体" w:cs="宋体"/>
          <w:color w:val="auto"/>
          <w:sz w:val="24"/>
          <w:szCs w:val="24"/>
        </w:rPr>
        <w:t>6、国家法律、法规所规定由委托人承担的其它责任。</w:t>
      </w:r>
    </w:p>
    <w:p w14:paraId="4D7DB3F2">
      <w:pPr>
        <w:pStyle w:val="6"/>
        <w:spacing w:beforeAutospacing="0" w:afterAutospacing="0"/>
        <w:rPr>
          <w:rFonts w:hint="default" w:cs="宋体"/>
          <w:color w:val="auto"/>
        </w:rPr>
      </w:pPr>
      <w:bookmarkStart w:id="48" w:name="_Toc14355"/>
      <w:bookmarkStart w:id="49" w:name="_Toc7605"/>
      <w:bookmarkStart w:id="50" w:name="_Toc4045"/>
      <w:r>
        <w:rPr>
          <w:rFonts w:cs="宋体"/>
          <w:color w:val="auto"/>
        </w:rPr>
        <w:t>十、养护公司的权利和义务</w:t>
      </w:r>
      <w:bookmarkEnd w:id="48"/>
      <w:bookmarkEnd w:id="49"/>
      <w:bookmarkEnd w:id="50"/>
    </w:p>
    <w:p w14:paraId="3997096F">
      <w:pPr>
        <w:rPr>
          <w:rFonts w:ascii="宋体" w:hAnsi="宋体" w:cs="宋体"/>
          <w:color w:val="auto"/>
          <w:sz w:val="24"/>
          <w:szCs w:val="24"/>
        </w:rPr>
      </w:pPr>
      <w:r>
        <w:rPr>
          <w:rFonts w:hint="eastAsia" w:ascii="宋体" w:hAnsi="宋体" w:cs="宋体"/>
          <w:color w:val="auto"/>
          <w:sz w:val="24"/>
          <w:szCs w:val="24"/>
        </w:rPr>
        <w:t>1、按照合同约定的养护路线和要求完成养护工作。</w:t>
      </w:r>
    </w:p>
    <w:p w14:paraId="7630D27B">
      <w:pPr>
        <w:pStyle w:val="10"/>
        <w:rPr>
          <w:rFonts w:ascii="宋体" w:hAnsi="宋体" w:cs="宋体"/>
          <w:color w:val="auto"/>
          <w:sz w:val="24"/>
          <w:szCs w:val="24"/>
        </w:rPr>
      </w:pPr>
      <w:r>
        <w:rPr>
          <w:rFonts w:hint="eastAsia" w:ascii="宋体" w:hAnsi="宋体" w:cs="宋体"/>
          <w:color w:val="auto"/>
          <w:sz w:val="24"/>
          <w:szCs w:val="24"/>
        </w:rPr>
        <w:t>2、养护公司必须结合农村公路养护实际，加强管理，合理安排养护工人，按照《劳动法》的相关规定，落实好养护工人待遇，严格按照《公路养护技术规范》对承包路段进行全面养护，确保养护质量达到MQI指标，巩固已建成文明路段，做好路线优质化养护。</w:t>
      </w:r>
    </w:p>
    <w:p w14:paraId="6E20DB39">
      <w:pPr>
        <w:pStyle w:val="6"/>
        <w:spacing w:beforeAutospacing="0" w:afterAutospacing="0"/>
        <w:rPr>
          <w:rFonts w:hint="default" w:cs="宋体"/>
          <w:color w:val="auto"/>
        </w:rPr>
      </w:pPr>
      <w:bookmarkStart w:id="51" w:name="_Toc26710"/>
      <w:bookmarkStart w:id="52" w:name="_Toc18758"/>
      <w:bookmarkStart w:id="53" w:name="_Toc14501"/>
      <w:r>
        <w:rPr>
          <w:rFonts w:cs="宋体"/>
          <w:color w:val="auto"/>
        </w:rPr>
        <w:t>十一、解决合同纠纷的方式</w:t>
      </w:r>
      <w:bookmarkEnd w:id="51"/>
      <w:bookmarkEnd w:id="52"/>
      <w:bookmarkEnd w:id="53"/>
    </w:p>
    <w:p w14:paraId="52406695">
      <w:pPr>
        <w:rPr>
          <w:rFonts w:ascii="宋体" w:hAnsi="宋体" w:cs="宋体"/>
          <w:color w:val="auto"/>
          <w:sz w:val="24"/>
          <w:szCs w:val="24"/>
        </w:rPr>
      </w:pPr>
      <w:r>
        <w:rPr>
          <w:rFonts w:hint="eastAsia" w:ascii="宋体" w:hAnsi="宋体" w:cs="宋体"/>
          <w:color w:val="auto"/>
          <w:sz w:val="24"/>
          <w:szCs w:val="24"/>
        </w:rPr>
        <w:t>1.在执行本合同中发生的或与本合同有关的争端，双方应通过友好协商解决，经协商在XX天内不能达成协议时，则采取以下第</w:t>
      </w:r>
      <w:r>
        <w:rPr>
          <w:rFonts w:hint="eastAsia" w:ascii="宋体" w:hAnsi="宋体" w:cs="宋体"/>
          <w:color w:val="auto"/>
          <w:sz w:val="24"/>
          <w:szCs w:val="24"/>
          <w:u w:val="single"/>
        </w:rPr>
        <w:t>（1）</w:t>
      </w:r>
      <w:r>
        <w:rPr>
          <w:rFonts w:hint="eastAsia" w:ascii="宋体" w:hAnsi="宋体" w:cs="宋体"/>
          <w:color w:val="auto"/>
          <w:sz w:val="24"/>
          <w:szCs w:val="24"/>
        </w:rPr>
        <w:t>种</w:t>
      </w:r>
      <w:r>
        <w:rPr>
          <w:rFonts w:hint="eastAsia" w:ascii="宋体" w:hAnsi="宋体" w:cs="宋体"/>
          <w:color w:val="auto"/>
          <w:sz w:val="24"/>
          <w:szCs w:val="24"/>
        </w:rPr>
        <w:t>方式解决争议：</w:t>
      </w:r>
    </w:p>
    <w:p w14:paraId="3926110C">
      <w:pPr>
        <w:rPr>
          <w:rFonts w:ascii="宋体" w:hAnsi="宋体" w:cs="宋体"/>
          <w:color w:val="auto"/>
          <w:sz w:val="24"/>
          <w:szCs w:val="24"/>
        </w:rPr>
      </w:pPr>
      <w:r>
        <w:rPr>
          <w:rFonts w:hint="eastAsia" w:ascii="宋体" w:hAnsi="宋体" w:cs="宋体"/>
          <w:color w:val="auto"/>
          <w:sz w:val="24"/>
          <w:szCs w:val="24"/>
        </w:rPr>
        <w:t>（1）向采购人所在地有管辖权的人民法院提起诉讼；</w:t>
      </w:r>
    </w:p>
    <w:p w14:paraId="704031D4">
      <w:pPr>
        <w:rPr>
          <w:rFonts w:ascii="宋体" w:hAnsi="宋体" w:cs="宋体"/>
          <w:color w:val="auto"/>
          <w:sz w:val="24"/>
          <w:szCs w:val="24"/>
        </w:rPr>
      </w:pPr>
      <w:r>
        <w:rPr>
          <w:rFonts w:hint="eastAsia" w:ascii="宋体" w:hAnsi="宋体" w:cs="宋体"/>
          <w:color w:val="auto"/>
          <w:sz w:val="24"/>
          <w:szCs w:val="24"/>
        </w:rPr>
        <w:t>（2）向仲裁委员会按其仲裁规则申请仲裁。</w:t>
      </w:r>
    </w:p>
    <w:p w14:paraId="7A81722B">
      <w:pPr>
        <w:rPr>
          <w:rFonts w:ascii="宋体" w:hAnsi="宋体" w:cs="宋体"/>
          <w:color w:val="auto"/>
          <w:sz w:val="24"/>
          <w:szCs w:val="24"/>
        </w:rPr>
      </w:pPr>
      <w:r>
        <w:rPr>
          <w:rFonts w:hint="eastAsia" w:ascii="宋体" w:hAnsi="宋体" w:cs="宋体"/>
          <w:color w:val="auto"/>
          <w:sz w:val="24"/>
          <w:szCs w:val="24"/>
        </w:rPr>
        <w:t>2.在</w:t>
      </w:r>
      <w:r>
        <w:rPr>
          <w:rFonts w:hint="eastAsia" w:ascii="宋体" w:hAnsi="宋体" w:cs="宋体"/>
          <w:color w:val="auto"/>
          <w:sz w:val="24"/>
          <w:szCs w:val="24"/>
        </w:rPr>
        <w:t>诉讼期间</w:t>
      </w:r>
      <w:r>
        <w:rPr>
          <w:rFonts w:hint="eastAsia" w:ascii="宋体" w:hAnsi="宋体" w:cs="宋体"/>
          <w:color w:val="auto"/>
          <w:sz w:val="24"/>
          <w:szCs w:val="24"/>
        </w:rPr>
        <w:t>，本合同应继续履行。</w:t>
      </w:r>
    </w:p>
    <w:p w14:paraId="25DE694A">
      <w:pPr>
        <w:pStyle w:val="6"/>
        <w:spacing w:beforeAutospacing="0" w:afterAutospacing="0"/>
        <w:rPr>
          <w:rFonts w:hint="default" w:cs="宋体"/>
          <w:color w:val="auto"/>
        </w:rPr>
      </w:pPr>
      <w:bookmarkStart w:id="54" w:name="_Toc2812"/>
      <w:bookmarkStart w:id="55" w:name="_Toc27840"/>
      <w:bookmarkStart w:id="56" w:name="_Toc18445"/>
      <w:r>
        <w:rPr>
          <w:rFonts w:cs="宋体"/>
          <w:color w:val="auto"/>
        </w:rPr>
        <w:t>十二、合同生效及其他</w:t>
      </w:r>
      <w:bookmarkEnd w:id="54"/>
      <w:bookmarkEnd w:id="55"/>
      <w:bookmarkEnd w:id="56"/>
    </w:p>
    <w:p w14:paraId="201F130E">
      <w:pPr>
        <w:rPr>
          <w:rFonts w:ascii="宋体" w:hAnsi="宋体" w:cs="宋体"/>
          <w:color w:val="auto"/>
          <w:sz w:val="24"/>
          <w:szCs w:val="24"/>
        </w:rPr>
      </w:pPr>
      <w:r>
        <w:rPr>
          <w:rFonts w:hint="eastAsia" w:ascii="宋体" w:hAnsi="宋体" w:cs="宋体"/>
          <w:color w:val="auto"/>
          <w:sz w:val="24"/>
          <w:szCs w:val="24"/>
        </w:rPr>
        <w:t>1.合同经双方法定代表人或授权委托代理人签字并加盖单位公章后生效。</w:t>
      </w:r>
    </w:p>
    <w:p w14:paraId="56D8DF6B">
      <w:pPr>
        <w:rPr>
          <w:rFonts w:ascii="宋体" w:hAnsi="宋体" w:cs="宋体"/>
          <w:color w:val="auto"/>
          <w:sz w:val="24"/>
          <w:szCs w:val="24"/>
        </w:rPr>
      </w:pPr>
      <w:r>
        <w:rPr>
          <w:rFonts w:hint="eastAsia" w:ascii="宋体" w:hAnsi="宋体" w:cs="宋体"/>
          <w:color w:val="auto"/>
          <w:sz w:val="24"/>
          <w:szCs w:val="24"/>
        </w:rPr>
        <w:t>2.合同执行中涉及采购资金和采购内容修改或补充的，须经政府采购监管部门审批，并签书面补充协议报政府采购监督管理部门备案，方可作为主合同不可分割的一部分。</w:t>
      </w:r>
    </w:p>
    <w:p w14:paraId="7B847609">
      <w:pPr>
        <w:rPr>
          <w:rFonts w:ascii="宋体" w:hAnsi="宋体" w:cs="宋体"/>
          <w:color w:val="auto"/>
          <w:sz w:val="24"/>
          <w:szCs w:val="24"/>
        </w:rPr>
      </w:pPr>
      <w:r>
        <w:rPr>
          <w:rFonts w:hint="eastAsia" w:ascii="宋体" w:hAnsi="宋体" w:cs="宋体"/>
          <w:color w:val="auto"/>
          <w:sz w:val="24"/>
          <w:szCs w:val="24"/>
        </w:rPr>
        <w:t>3.本合同一式肆份，采购人二份，养护公司二份，具有同等法律效力，自双方签章之日起起效，结清一切经济手续后合同自行终止。</w:t>
      </w:r>
    </w:p>
    <w:p w14:paraId="6359D34E">
      <w:pPr>
        <w:pStyle w:val="6"/>
        <w:spacing w:beforeAutospacing="0" w:afterAutospacing="0"/>
        <w:rPr>
          <w:rFonts w:hint="default" w:cs="宋体"/>
          <w:color w:val="auto"/>
        </w:rPr>
      </w:pPr>
      <w:bookmarkStart w:id="57" w:name="_Toc12840"/>
      <w:bookmarkStart w:id="58" w:name="_Toc14889"/>
      <w:bookmarkStart w:id="59" w:name="_Toc26383"/>
      <w:r>
        <w:rPr>
          <w:rFonts w:cs="宋体"/>
          <w:color w:val="auto"/>
        </w:rPr>
        <w:t>十三、附件</w:t>
      </w:r>
      <w:bookmarkEnd w:id="57"/>
      <w:bookmarkEnd w:id="58"/>
      <w:bookmarkEnd w:id="59"/>
    </w:p>
    <w:p w14:paraId="76883E56">
      <w:pPr>
        <w:rPr>
          <w:rFonts w:ascii="宋体" w:hAnsi="宋体" w:cs="宋体"/>
          <w:color w:val="auto"/>
          <w:sz w:val="24"/>
          <w:szCs w:val="24"/>
        </w:rPr>
      </w:pPr>
      <w:r>
        <w:rPr>
          <w:rFonts w:hint="eastAsia" w:ascii="宋体" w:hAnsi="宋体" w:cs="宋体"/>
          <w:color w:val="auto"/>
          <w:sz w:val="24"/>
          <w:szCs w:val="24"/>
        </w:rPr>
        <w:t>1.项目招标文件</w:t>
      </w:r>
    </w:p>
    <w:p w14:paraId="0D86A6D1">
      <w:pPr>
        <w:rPr>
          <w:rFonts w:ascii="宋体" w:hAnsi="宋体" w:cs="宋体"/>
          <w:color w:val="auto"/>
          <w:sz w:val="24"/>
          <w:szCs w:val="24"/>
        </w:rPr>
      </w:pPr>
      <w:r>
        <w:rPr>
          <w:rFonts w:hint="eastAsia" w:ascii="宋体" w:hAnsi="宋体" w:cs="宋体"/>
          <w:color w:val="auto"/>
          <w:sz w:val="24"/>
          <w:szCs w:val="24"/>
        </w:rPr>
        <w:t>2.项目修改澄清文件（如有）</w:t>
      </w:r>
    </w:p>
    <w:p w14:paraId="2FCFD0B1">
      <w:pPr>
        <w:rPr>
          <w:rFonts w:ascii="宋体" w:hAnsi="宋体" w:cs="宋体"/>
          <w:color w:val="auto"/>
          <w:sz w:val="24"/>
          <w:szCs w:val="24"/>
        </w:rPr>
      </w:pPr>
      <w:r>
        <w:rPr>
          <w:rFonts w:hint="eastAsia" w:ascii="宋体" w:hAnsi="宋体" w:cs="宋体"/>
          <w:color w:val="auto"/>
          <w:sz w:val="24"/>
          <w:szCs w:val="24"/>
        </w:rPr>
        <w:t>3.项目投标文件</w:t>
      </w:r>
    </w:p>
    <w:p w14:paraId="27E01D2C">
      <w:pPr>
        <w:rPr>
          <w:rFonts w:ascii="宋体" w:hAnsi="宋体" w:cs="宋体"/>
          <w:color w:val="auto"/>
          <w:sz w:val="24"/>
          <w:szCs w:val="24"/>
        </w:rPr>
      </w:pPr>
      <w:r>
        <w:rPr>
          <w:rFonts w:hint="eastAsia" w:ascii="宋体" w:hAnsi="宋体" w:cs="宋体"/>
          <w:color w:val="auto"/>
          <w:sz w:val="24"/>
          <w:szCs w:val="24"/>
        </w:rPr>
        <w:t>4.中标通知书</w:t>
      </w:r>
    </w:p>
    <w:p w14:paraId="0D212273">
      <w:pPr>
        <w:rPr>
          <w:rFonts w:ascii="宋体" w:hAnsi="宋体" w:cs="宋体"/>
          <w:color w:val="auto"/>
          <w:sz w:val="24"/>
          <w:szCs w:val="24"/>
        </w:rPr>
      </w:pPr>
      <w:r>
        <w:rPr>
          <w:rFonts w:hint="eastAsia" w:ascii="宋体" w:hAnsi="宋体" w:cs="宋体"/>
          <w:color w:val="auto"/>
          <w:sz w:val="24"/>
          <w:szCs w:val="24"/>
        </w:rPr>
        <w:t>5.其他</w:t>
      </w:r>
    </w:p>
    <w:p w14:paraId="583F4B3D">
      <w:pPr>
        <w:rPr>
          <w:color w:val="auto"/>
        </w:rPr>
      </w:pPr>
    </w:p>
    <w:p w14:paraId="4A9CFB02">
      <w:pPr>
        <w:pStyle w:val="10"/>
        <w:rPr>
          <w:color w:val="auto"/>
        </w:rPr>
      </w:pPr>
    </w:p>
    <w:p w14:paraId="03FC744A">
      <w:pPr>
        <w:pStyle w:val="10"/>
        <w:rPr>
          <w:color w:val="auto"/>
        </w:rPr>
      </w:pPr>
    </w:p>
    <w:p w14:paraId="43C90D26">
      <w:pPr>
        <w:pStyle w:val="10"/>
        <w:rPr>
          <w:color w:val="auto"/>
        </w:rPr>
      </w:pPr>
    </w:p>
    <w:p w14:paraId="12802157">
      <w:pPr>
        <w:pStyle w:val="10"/>
        <w:rPr>
          <w:color w:val="auto"/>
        </w:rPr>
      </w:pPr>
      <w:r>
        <w:rPr>
          <w:color w:val="auto"/>
        </w:rPr>
        <w:pict>
          <v:shape id="_x0000_s1026" o:spid="_x0000_s1026" o:spt="202" type="#_x0000_t202" style="position:absolute;left:0pt;margin-left:213.9pt;margin-top:7.05pt;height:228.25pt;width:232.4pt;z-index:251660288;mso-width-relative:page;mso-height-relative:page;" filled="t" stroked="t" coordsize="21600,21600" o:gfxdata="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iE5ONoAAAAKAQAADwAAAAAAAAABACAAAAAi&#10;AAAAZHJzL2Rvd25yZXYueG1sUEsBAhQAFAAAAAgAh07iQAfhxGNBAgAAvwQAAA4AAAAAAAAAAQAg&#10;AAAAKQEAAGRycy9lMm9Eb2MueG1sUEsFBgAAAAAGAAYAWQEAANwFAAAAAA==&#10;">
            <v:path/>
            <v:fill type="gradient" on="t" angle="90" focus="100%" focussize="0,0">
              <o:fill type="gradientUnscaled" v:ext="backwardCompatible"/>
            </v:fill>
            <v:stroke weight="1.25pt" color="#FFFFFF" joinstyle="miter"/>
            <v:imagedata o:title=""/>
            <o:lock v:ext="edit"/>
            <v:textbox>
              <w:txbxContent>
                <w:p w14:paraId="756082C1">
                  <w:pPr>
                    <w:rPr>
                      <w:rFonts w:ascii="宋体" w:hAnsi="宋体" w:cs="宋体"/>
                      <w:sz w:val="24"/>
                      <w:szCs w:val="24"/>
                    </w:rPr>
                  </w:pPr>
                  <w:r>
                    <w:rPr>
                      <w:rFonts w:hint="eastAsia" w:ascii="宋体" w:hAnsi="宋体" w:cs="宋体"/>
                      <w:sz w:val="24"/>
                      <w:szCs w:val="24"/>
                    </w:rPr>
                    <w:t>养护公司：（盖章）</w:t>
                  </w:r>
                </w:p>
                <w:p w14:paraId="63707D99">
                  <w:pPr>
                    <w:wordWrap w:val="0"/>
                    <w:snapToGrid w:val="0"/>
                    <w:rPr>
                      <w:rFonts w:ascii="宋体" w:hAnsi="宋体" w:cs="宋体"/>
                      <w:sz w:val="24"/>
                      <w:szCs w:val="24"/>
                    </w:rPr>
                  </w:pPr>
                  <w:r>
                    <w:rPr>
                      <w:rFonts w:hint="eastAsia" w:ascii="宋体" w:hAnsi="宋体" w:cs="宋体"/>
                      <w:sz w:val="24"/>
                      <w:szCs w:val="24"/>
                    </w:rPr>
                    <w:t>法定代表人</w:t>
                  </w:r>
                </w:p>
                <w:p w14:paraId="55839ECA">
                  <w:pPr>
                    <w:wordWrap w:val="0"/>
                    <w:snapToGrid w:val="0"/>
                    <w:ind w:firstLine="480" w:firstLineChars="200"/>
                    <w:rPr>
                      <w:rFonts w:ascii="宋体" w:hAnsi="宋体" w:cs="宋体"/>
                      <w:sz w:val="24"/>
                      <w:szCs w:val="24"/>
                    </w:rPr>
                  </w:pPr>
                  <w:r>
                    <w:rPr>
                      <w:rFonts w:hint="eastAsia" w:ascii="宋体" w:hAnsi="宋体" w:cs="宋体"/>
                      <w:sz w:val="24"/>
                      <w:szCs w:val="24"/>
                    </w:rPr>
                    <w:t>或</w:t>
                  </w:r>
                </w:p>
                <w:p w14:paraId="71CD00A0">
                  <w:pPr>
                    <w:rPr>
                      <w:rFonts w:ascii="宋体" w:hAnsi="宋体" w:cs="宋体"/>
                      <w:spacing w:val="-17"/>
                      <w:sz w:val="24"/>
                      <w:szCs w:val="24"/>
                    </w:rPr>
                  </w:pPr>
                  <w:r>
                    <w:rPr>
                      <w:rFonts w:hint="eastAsia" w:ascii="宋体" w:hAnsi="宋体" w:cs="宋体"/>
                      <w:sz w:val="24"/>
                      <w:szCs w:val="24"/>
                    </w:rPr>
                    <w:t>授权代理人：</w:t>
                  </w:r>
                  <w:r>
                    <w:rPr>
                      <w:rFonts w:hint="eastAsia" w:ascii="宋体" w:hAnsi="宋体" w:cs="宋体"/>
                      <w:spacing w:val="-17"/>
                      <w:sz w:val="24"/>
                      <w:szCs w:val="24"/>
                    </w:rPr>
                    <w:t>（签字或盖章）</w:t>
                  </w:r>
                </w:p>
                <w:p w14:paraId="785B7D03">
                  <w:pPr>
                    <w:wordWrap w:val="0"/>
                    <w:snapToGrid w:val="0"/>
                    <w:rPr>
                      <w:rFonts w:ascii="宋体" w:hAnsi="宋体" w:cs="宋体"/>
                      <w:sz w:val="24"/>
                      <w:szCs w:val="24"/>
                    </w:rPr>
                  </w:pPr>
                  <w:r>
                    <w:rPr>
                      <w:rFonts w:hint="eastAsia" w:ascii="宋体" w:hAnsi="宋体" w:cs="宋体"/>
                      <w:sz w:val="24"/>
                      <w:szCs w:val="24"/>
                    </w:rPr>
                    <w:t>电话：</w:t>
                  </w:r>
                </w:p>
                <w:p w14:paraId="6A77C33D">
                  <w:pPr>
                    <w:wordWrap w:val="0"/>
                    <w:snapToGrid w:val="0"/>
                    <w:rPr>
                      <w:rFonts w:ascii="宋体" w:hAnsi="宋体" w:cs="宋体"/>
                      <w:sz w:val="24"/>
                      <w:szCs w:val="24"/>
                    </w:rPr>
                  </w:pPr>
                  <w:r>
                    <w:rPr>
                      <w:rFonts w:hint="eastAsia" w:ascii="宋体" w:hAnsi="宋体" w:cs="宋体"/>
                      <w:sz w:val="24"/>
                      <w:szCs w:val="24"/>
                    </w:rPr>
                    <w:t>传真：</w:t>
                  </w:r>
                </w:p>
                <w:p w14:paraId="361367BB">
                  <w:pPr>
                    <w:wordWrap w:val="0"/>
                    <w:snapToGrid w:val="0"/>
                    <w:rPr>
                      <w:rFonts w:ascii="宋体" w:hAnsi="宋体" w:cs="宋体"/>
                      <w:sz w:val="24"/>
                      <w:szCs w:val="24"/>
                    </w:rPr>
                  </w:pPr>
                  <w:r>
                    <w:rPr>
                      <w:rFonts w:hint="eastAsia" w:ascii="宋体" w:hAnsi="宋体" w:cs="宋体"/>
                      <w:sz w:val="24"/>
                      <w:szCs w:val="24"/>
                    </w:rPr>
                    <w:t>地址：</w:t>
                  </w:r>
                </w:p>
                <w:p w14:paraId="5D48B509">
                  <w:pPr>
                    <w:wordWrap w:val="0"/>
                    <w:snapToGrid w:val="0"/>
                    <w:rPr>
                      <w:rFonts w:ascii="宋体" w:hAnsi="宋体" w:cs="宋体"/>
                      <w:sz w:val="24"/>
                      <w:szCs w:val="24"/>
                    </w:rPr>
                  </w:pPr>
                </w:p>
                <w:p w14:paraId="2554134F">
                  <w:pPr>
                    <w:wordWrap w:val="0"/>
                    <w:snapToGrid w:val="0"/>
                    <w:rPr>
                      <w:rFonts w:ascii="宋体" w:hAnsi="宋体" w:cs="宋体"/>
                      <w:sz w:val="24"/>
                      <w:szCs w:val="24"/>
                    </w:rPr>
                  </w:pPr>
                  <w:r>
                    <w:rPr>
                      <w:rFonts w:hint="eastAsia" w:ascii="宋体" w:hAnsi="宋体" w:cs="宋体"/>
                      <w:sz w:val="24"/>
                      <w:szCs w:val="24"/>
                    </w:rPr>
                    <w:t>邮编：</w:t>
                  </w:r>
                </w:p>
                <w:p w14:paraId="0D51BA8E">
                  <w:pPr>
                    <w:wordWrap w:val="0"/>
                    <w:snapToGrid w:val="0"/>
                    <w:rPr>
                      <w:rFonts w:ascii="宋体" w:hAnsi="宋体" w:cs="宋体"/>
                      <w:sz w:val="24"/>
                      <w:szCs w:val="24"/>
                    </w:rPr>
                  </w:pPr>
                  <w:r>
                    <w:rPr>
                      <w:rFonts w:hint="eastAsia" w:ascii="宋体" w:hAnsi="宋体" w:cs="宋体"/>
                      <w:sz w:val="24"/>
                      <w:szCs w:val="24"/>
                    </w:rPr>
                    <w:t>开户银行：</w:t>
                  </w:r>
                </w:p>
                <w:p w14:paraId="048B8571">
                  <w:pPr>
                    <w:wordWrap w:val="0"/>
                    <w:snapToGrid w:val="0"/>
                    <w:rPr>
                      <w:rFonts w:ascii="宋体" w:hAnsi="宋体" w:cs="宋体"/>
                      <w:sz w:val="24"/>
                      <w:szCs w:val="24"/>
                    </w:rPr>
                  </w:pPr>
                  <w:r>
                    <w:rPr>
                      <w:rFonts w:hint="eastAsia" w:ascii="宋体" w:hAnsi="宋体" w:cs="宋体"/>
                      <w:sz w:val="24"/>
                      <w:szCs w:val="24"/>
                    </w:rPr>
                    <w:t>账号:</w:t>
                  </w:r>
                </w:p>
                <w:p w14:paraId="00ACF2B0">
                  <w:pPr>
                    <w:wordWrap w:val="0"/>
                    <w:snapToGrid w:val="0"/>
                    <w:rPr>
                      <w:rFonts w:ascii="宋体" w:hAnsi="宋体" w:cs="宋体"/>
                      <w:bCs/>
                      <w:sz w:val="24"/>
                      <w:szCs w:val="24"/>
                    </w:rPr>
                  </w:pPr>
                  <w:r>
                    <w:rPr>
                      <w:rFonts w:hint="eastAsia" w:ascii="宋体" w:hAnsi="宋体" w:cs="宋体"/>
                      <w:sz w:val="24"/>
                      <w:szCs w:val="24"/>
                    </w:rPr>
                    <w:t>签约日期：年月日</w:t>
                  </w:r>
                </w:p>
                <w:p w14:paraId="04A8448A"/>
              </w:txbxContent>
            </v:textbox>
          </v:shape>
        </w:pict>
      </w:r>
      <w:r>
        <w:rPr>
          <w:color w:val="auto"/>
        </w:rPr>
        <w:pict>
          <v:shape id="_x0000_s1027" o:spid="_x0000_s1027" o:spt="202" type="#_x0000_t202" style="position:absolute;left:0pt;margin-left:-20.6pt;margin-top:10.7pt;height:223.95pt;width:232.4pt;z-index:251659264;mso-width-relative:page;mso-height-relative:page;" filled="t" stroked="t" coordsize="21600,21600" o:gfxdata="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csA5I2wAAAAoBAAAPAAAAAAAAAAEAIAAA&#10;ACIAAABkcnMvZG93bnJldi54bWxQSwECFAAUAAAACACHTuJAFFupSkICAAC/BAAADgAAAAAAAAAB&#10;ACAAAAAqAQAAZHJzL2Uyb0RvYy54bWxQSwUGAAAAAAYABgBZAQAA3gUAAAAA&#10;">
            <v:path/>
            <v:fill type="gradient" on="t" angle="90" focus="100%" focussize="0,0">
              <o:fill type="gradientUnscaled" v:ext="backwardCompatible"/>
            </v:fill>
            <v:stroke weight="1.25pt" color="#FFFFFF" joinstyle="miter"/>
            <v:imagedata o:title=""/>
            <o:lock v:ext="edit"/>
            <v:textbox>
              <w:txbxContent>
                <w:p w14:paraId="0ADC4CEF">
                  <w:pPr>
                    <w:rPr>
                      <w:rFonts w:ascii="宋体" w:hAnsi="宋体" w:cs="宋体"/>
                      <w:sz w:val="24"/>
                      <w:szCs w:val="24"/>
                    </w:rPr>
                  </w:pPr>
                  <w:r>
                    <w:rPr>
                      <w:rFonts w:hint="eastAsia" w:ascii="宋体" w:hAnsi="宋体" w:cs="宋体"/>
                      <w:sz w:val="24"/>
                      <w:szCs w:val="24"/>
                    </w:rPr>
                    <w:t>委托人：（盖章）</w:t>
                  </w:r>
                </w:p>
                <w:p w14:paraId="3A2F578D">
                  <w:pPr>
                    <w:wordWrap w:val="0"/>
                    <w:snapToGrid w:val="0"/>
                    <w:rPr>
                      <w:rFonts w:ascii="宋体" w:hAnsi="宋体" w:cs="宋体"/>
                      <w:sz w:val="24"/>
                      <w:szCs w:val="24"/>
                    </w:rPr>
                  </w:pPr>
                  <w:r>
                    <w:rPr>
                      <w:rFonts w:hint="eastAsia" w:ascii="宋体" w:hAnsi="宋体" w:cs="宋体"/>
                      <w:sz w:val="24"/>
                      <w:szCs w:val="24"/>
                    </w:rPr>
                    <w:t>法定代表人</w:t>
                  </w:r>
                </w:p>
                <w:p w14:paraId="558BEC5F">
                  <w:pPr>
                    <w:wordWrap w:val="0"/>
                    <w:snapToGrid w:val="0"/>
                    <w:ind w:firstLine="480" w:firstLineChars="200"/>
                    <w:rPr>
                      <w:rFonts w:ascii="宋体" w:hAnsi="宋体" w:cs="宋体"/>
                      <w:sz w:val="24"/>
                      <w:szCs w:val="24"/>
                    </w:rPr>
                  </w:pPr>
                  <w:r>
                    <w:rPr>
                      <w:rFonts w:hint="eastAsia" w:ascii="宋体" w:hAnsi="宋体" w:cs="宋体"/>
                      <w:sz w:val="24"/>
                      <w:szCs w:val="24"/>
                    </w:rPr>
                    <w:t>或</w:t>
                  </w:r>
                </w:p>
                <w:p w14:paraId="6543C17F">
                  <w:pPr>
                    <w:rPr>
                      <w:rFonts w:ascii="宋体" w:hAnsi="宋体" w:cs="宋体"/>
                      <w:spacing w:val="-17"/>
                      <w:sz w:val="24"/>
                      <w:szCs w:val="24"/>
                    </w:rPr>
                  </w:pPr>
                  <w:r>
                    <w:rPr>
                      <w:rFonts w:hint="eastAsia" w:ascii="宋体" w:hAnsi="宋体" w:cs="宋体"/>
                      <w:sz w:val="24"/>
                      <w:szCs w:val="24"/>
                    </w:rPr>
                    <w:t>授权代理人：</w:t>
                  </w:r>
                  <w:r>
                    <w:rPr>
                      <w:rFonts w:hint="eastAsia" w:ascii="宋体" w:hAnsi="宋体" w:cs="宋体"/>
                      <w:spacing w:val="-17"/>
                      <w:sz w:val="24"/>
                      <w:szCs w:val="24"/>
                    </w:rPr>
                    <w:t>（签字或盖章）</w:t>
                  </w:r>
                </w:p>
                <w:p w14:paraId="4F481985">
                  <w:pPr>
                    <w:wordWrap w:val="0"/>
                    <w:snapToGrid w:val="0"/>
                    <w:rPr>
                      <w:rFonts w:ascii="宋体" w:hAnsi="宋体" w:cs="宋体"/>
                      <w:sz w:val="24"/>
                      <w:szCs w:val="24"/>
                    </w:rPr>
                  </w:pPr>
                  <w:r>
                    <w:rPr>
                      <w:rFonts w:hint="eastAsia" w:ascii="宋体" w:hAnsi="宋体" w:cs="宋体"/>
                      <w:sz w:val="24"/>
                      <w:szCs w:val="24"/>
                    </w:rPr>
                    <w:t>电话：</w:t>
                  </w:r>
                </w:p>
                <w:p w14:paraId="7B55AB4D">
                  <w:pPr>
                    <w:wordWrap w:val="0"/>
                    <w:snapToGrid w:val="0"/>
                    <w:rPr>
                      <w:rFonts w:ascii="宋体" w:hAnsi="宋体" w:cs="宋体"/>
                      <w:sz w:val="24"/>
                      <w:szCs w:val="24"/>
                    </w:rPr>
                  </w:pPr>
                  <w:r>
                    <w:rPr>
                      <w:rFonts w:hint="eastAsia" w:ascii="宋体" w:hAnsi="宋体" w:cs="宋体"/>
                      <w:sz w:val="24"/>
                      <w:szCs w:val="24"/>
                    </w:rPr>
                    <w:t>传真：</w:t>
                  </w:r>
                </w:p>
                <w:p w14:paraId="6B0AC7FB">
                  <w:pPr>
                    <w:wordWrap w:val="0"/>
                    <w:snapToGrid w:val="0"/>
                    <w:rPr>
                      <w:rFonts w:ascii="宋体" w:hAnsi="宋体" w:cs="宋体"/>
                      <w:sz w:val="24"/>
                      <w:szCs w:val="24"/>
                    </w:rPr>
                  </w:pPr>
                  <w:r>
                    <w:rPr>
                      <w:rFonts w:hint="eastAsia" w:ascii="宋体" w:hAnsi="宋体" w:cs="宋体"/>
                      <w:sz w:val="24"/>
                      <w:szCs w:val="24"/>
                    </w:rPr>
                    <w:t>地址：</w:t>
                  </w:r>
                </w:p>
                <w:p w14:paraId="4A04B8BD">
                  <w:pPr>
                    <w:wordWrap w:val="0"/>
                    <w:snapToGrid w:val="0"/>
                    <w:rPr>
                      <w:rFonts w:ascii="宋体" w:hAnsi="宋体" w:cs="宋体"/>
                      <w:sz w:val="24"/>
                      <w:szCs w:val="24"/>
                    </w:rPr>
                  </w:pPr>
                </w:p>
                <w:p w14:paraId="5B2C8B62">
                  <w:pPr>
                    <w:wordWrap w:val="0"/>
                    <w:snapToGrid w:val="0"/>
                    <w:rPr>
                      <w:rFonts w:ascii="宋体" w:hAnsi="宋体" w:cs="宋体"/>
                      <w:sz w:val="24"/>
                      <w:szCs w:val="24"/>
                    </w:rPr>
                  </w:pPr>
                  <w:r>
                    <w:rPr>
                      <w:rFonts w:hint="eastAsia" w:ascii="宋体" w:hAnsi="宋体" w:cs="宋体"/>
                      <w:sz w:val="24"/>
                      <w:szCs w:val="24"/>
                    </w:rPr>
                    <w:t>邮编：</w:t>
                  </w:r>
                </w:p>
                <w:p w14:paraId="0C050776">
                  <w:pPr>
                    <w:wordWrap w:val="0"/>
                    <w:snapToGrid w:val="0"/>
                    <w:rPr>
                      <w:rFonts w:ascii="宋体" w:hAnsi="宋体" w:cs="宋体"/>
                      <w:sz w:val="24"/>
                      <w:szCs w:val="24"/>
                    </w:rPr>
                  </w:pPr>
                  <w:r>
                    <w:rPr>
                      <w:rFonts w:hint="eastAsia" w:ascii="宋体" w:hAnsi="宋体" w:cs="宋体"/>
                      <w:sz w:val="24"/>
                      <w:szCs w:val="24"/>
                    </w:rPr>
                    <w:t>开户银行：</w:t>
                  </w:r>
                </w:p>
                <w:p w14:paraId="249DAE6D">
                  <w:pPr>
                    <w:wordWrap w:val="0"/>
                    <w:snapToGrid w:val="0"/>
                    <w:rPr>
                      <w:rFonts w:ascii="宋体" w:hAnsi="宋体" w:cs="宋体"/>
                      <w:sz w:val="24"/>
                      <w:szCs w:val="24"/>
                    </w:rPr>
                  </w:pPr>
                  <w:r>
                    <w:rPr>
                      <w:rFonts w:hint="eastAsia" w:ascii="宋体" w:hAnsi="宋体" w:cs="宋体"/>
                      <w:sz w:val="24"/>
                      <w:szCs w:val="24"/>
                    </w:rPr>
                    <w:t>账号:</w:t>
                  </w:r>
                </w:p>
                <w:p w14:paraId="0073012A">
                  <w:pPr>
                    <w:wordWrap w:val="0"/>
                    <w:snapToGrid w:val="0"/>
                    <w:rPr>
                      <w:rFonts w:ascii="宋体" w:hAnsi="宋体" w:cs="宋体"/>
                      <w:bCs/>
                      <w:sz w:val="24"/>
                      <w:szCs w:val="24"/>
                    </w:rPr>
                  </w:pPr>
                  <w:r>
                    <w:rPr>
                      <w:rFonts w:hint="eastAsia" w:ascii="宋体" w:hAnsi="宋体" w:cs="宋体"/>
                      <w:sz w:val="24"/>
                      <w:szCs w:val="24"/>
                    </w:rPr>
                    <w:t>签约日期：年月日</w:t>
                  </w:r>
                </w:p>
              </w:txbxContent>
            </v:textbox>
          </v:shape>
        </w:pict>
      </w:r>
    </w:p>
    <w:p w14:paraId="62D788E4">
      <w:pPr>
        <w:rPr>
          <w:color w:val="auto"/>
        </w:rPr>
      </w:pPr>
    </w:p>
    <w:p w14:paraId="1F838CF7">
      <w:pPr>
        <w:rPr>
          <w:color w:val="auto"/>
        </w:rPr>
      </w:pPr>
    </w:p>
    <w:p w14:paraId="7BCF1A1B">
      <w:pPr>
        <w:rPr>
          <w:color w:val="auto"/>
        </w:rPr>
      </w:pPr>
    </w:p>
    <w:p w14:paraId="71C06579">
      <w:pPr>
        <w:rPr>
          <w:color w:val="auto"/>
        </w:rPr>
      </w:pPr>
    </w:p>
    <w:p w14:paraId="1AD2F4F6">
      <w:pPr>
        <w:rPr>
          <w:color w:val="auto"/>
        </w:rPr>
      </w:pPr>
    </w:p>
    <w:p w14:paraId="628DC9EA">
      <w:pPr>
        <w:rPr>
          <w:color w:val="auto"/>
        </w:rPr>
      </w:pPr>
    </w:p>
    <w:p w14:paraId="550FF9A4">
      <w:pPr>
        <w:rPr>
          <w:color w:val="auto"/>
        </w:rPr>
      </w:pPr>
    </w:p>
    <w:p w14:paraId="0B545609">
      <w:pPr>
        <w:rPr>
          <w:color w:val="auto"/>
        </w:rPr>
      </w:pPr>
    </w:p>
    <w:p w14:paraId="0D56A2E3">
      <w:pPr>
        <w:rPr>
          <w:color w:val="auto"/>
        </w:rPr>
      </w:pPr>
    </w:p>
    <w:p w14:paraId="4ED57EB6">
      <w:pPr>
        <w:rPr>
          <w:color w:val="auto"/>
        </w:rPr>
      </w:pPr>
    </w:p>
    <w:p w14:paraId="7B50588A">
      <w:pPr>
        <w:rPr>
          <w:color w:val="auto"/>
        </w:rPr>
      </w:pPr>
    </w:p>
    <w:p w14:paraId="5FFAB466">
      <w:pPr>
        <w:rPr>
          <w:color w:val="auto"/>
        </w:rPr>
      </w:pPr>
    </w:p>
    <w:p w14:paraId="565946BB">
      <w:pPr>
        <w:rPr>
          <w:color w:val="auto"/>
        </w:rPr>
      </w:pPr>
    </w:p>
    <w:p w14:paraId="4236F147">
      <w:pPr>
        <w:rPr>
          <w:color w:val="auto"/>
        </w:rPr>
      </w:pPr>
    </w:p>
    <w:p w14:paraId="16212E92">
      <w:pPr>
        <w:rPr>
          <w:color w:val="auto"/>
        </w:rPr>
      </w:pPr>
    </w:p>
    <w:p w14:paraId="49448466">
      <w:pPr>
        <w:rPr>
          <w:color w:val="auto"/>
        </w:rPr>
      </w:pPr>
    </w:p>
    <w:p w14:paraId="66E1CA41">
      <w:pPr>
        <w:rPr>
          <w:color w:val="auto"/>
        </w:rPr>
      </w:pPr>
    </w:p>
    <w:p w14:paraId="6346331F">
      <w:pPr>
        <w:rPr>
          <w:color w:val="auto"/>
        </w:rPr>
      </w:pPr>
    </w:p>
    <w:p w14:paraId="2BB0CB8B">
      <w:pPr>
        <w:rPr>
          <w:color w:val="auto"/>
        </w:rPr>
      </w:pPr>
    </w:p>
    <w:bookmarkEnd w:id="0"/>
    <w:bookmarkEnd w:id="1"/>
    <w:bookmarkEnd w:id="2"/>
    <w:bookmarkEnd w:id="3"/>
    <w:bookmarkEnd w:id="4"/>
    <w:bookmarkEnd w:id="5"/>
    <w:bookmarkEnd w:id="6"/>
    <w:bookmarkEnd w:id="7"/>
    <w:bookmarkEnd w:id="8"/>
    <w:p w14:paraId="1195C765">
      <w:pPr>
        <w:rPr>
          <w:rFonts w:asciiTheme="minorEastAsia" w:hAnsiTheme="minorEastAsia" w:eastAsiaTheme="minorEastAsia" w:cstheme="minorEastAsia"/>
          <w:color w:val="auto"/>
        </w:rPr>
      </w:pPr>
    </w:p>
    <w:sectPr>
      <w:headerReference r:id="rId3" w:type="default"/>
      <w:footerReference r:id="rId4" w:type="default"/>
      <w:pgSz w:w="11906" w:h="16838"/>
      <w:pgMar w:top="1418" w:right="1418" w:bottom="1418" w:left="1701"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CCAA6">
    <w:pPr>
      <w:pStyle w:val="12"/>
      <w:jc w:val="both"/>
      <w:rPr>
        <w:rFonts w:ascii="宋体" w:hAnsi="宋体" w:cs="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19C30">
    <w:pPr>
      <w:pStyle w:val="13"/>
      <w:pBdr>
        <w:bottom w:val="none" w:color="auto" w:sz="0" w:space="1"/>
      </w:pBdr>
      <w:jc w:val="left"/>
      <w:rPr>
        <w:rFonts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2M3OTBmN2Q3YzE2YzQ5YTNhMzhhMTRjYTkxMmZlMjcifQ=="/>
  </w:docVars>
  <w:rsids>
    <w:rsidRoot w:val="145C7E8C"/>
    <w:rsid w:val="0002117A"/>
    <w:rsid w:val="00377076"/>
    <w:rsid w:val="00670FBB"/>
    <w:rsid w:val="00675481"/>
    <w:rsid w:val="00770B6F"/>
    <w:rsid w:val="00AD7338"/>
    <w:rsid w:val="00BF6028"/>
    <w:rsid w:val="00C04B03"/>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2265A5"/>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1E1A7E"/>
    <w:rsid w:val="197B401F"/>
    <w:rsid w:val="1A044015"/>
    <w:rsid w:val="1A8411C9"/>
    <w:rsid w:val="1AA36883"/>
    <w:rsid w:val="1AC217DA"/>
    <w:rsid w:val="1AE9220B"/>
    <w:rsid w:val="1B100797"/>
    <w:rsid w:val="1B2C1E71"/>
    <w:rsid w:val="1B333095"/>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952E6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857253"/>
    <w:rsid w:val="2EB240E4"/>
    <w:rsid w:val="2F2B43C5"/>
    <w:rsid w:val="2F4131BE"/>
    <w:rsid w:val="2F8C268B"/>
    <w:rsid w:val="2FBA2A60"/>
    <w:rsid w:val="2FCB2569"/>
    <w:rsid w:val="2FE36A1D"/>
    <w:rsid w:val="2FED0C50"/>
    <w:rsid w:val="30500A75"/>
    <w:rsid w:val="30550CCF"/>
    <w:rsid w:val="307C26FF"/>
    <w:rsid w:val="30963095"/>
    <w:rsid w:val="30AA60FF"/>
    <w:rsid w:val="30E402A4"/>
    <w:rsid w:val="311C1421"/>
    <w:rsid w:val="31436D79"/>
    <w:rsid w:val="31912317"/>
    <w:rsid w:val="31C854D0"/>
    <w:rsid w:val="31D6798F"/>
    <w:rsid w:val="32026430"/>
    <w:rsid w:val="324959C0"/>
    <w:rsid w:val="324C6101"/>
    <w:rsid w:val="326E4A26"/>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A727D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C76376"/>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C15A8"/>
    <w:rsid w:val="3DAD25AB"/>
    <w:rsid w:val="3DC627CE"/>
    <w:rsid w:val="3DC65242"/>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6F7BA3"/>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800E42"/>
    <w:rsid w:val="53937294"/>
    <w:rsid w:val="53BC7DF6"/>
    <w:rsid w:val="53E37401"/>
    <w:rsid w:val="53E40230"/>
    <w:rsid w:val="5406215C"/>
    <w:rsid w:val="543D36A4"/>
    <w:rsid w:val="54510F32"/>
    <w:rsid w:val="546D3D3A"/>
    <w:rsid w:val="548D0188"/>
    <w:rsid w:val="54972DB4"/>
    <w:rsid w:val="54BB3B16"/>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B42AC4"/>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40211B"/>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E92D60"/>
    <w:rsid w:val="74EC0AA3"/>
    <w:rsid w:val="75023E22"/>
    <w:rsid w:val="750850DA"/>
    <w:rsid w:val="756B3191"/>
    <w:rsid w:val="756F59AF"/>
    <w:rsid w:val="757E2E52"/>
    <w:rsid w:val="7587646F"/>
    <w:rsid w:val="75994786"/>
    <w:rsid w:val="75D14B26"/>
    <w:rsid w:val="75FD49AA"/>
    <w:rsid w:val="765C45EC"/>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ind w:left="284"/>
      <w:jc w:val="left"/>
      <w:outlineLvl w:val="1"/>
    </w:pPr>
    <w:rPr>
      <w:rFonts w:ascii="Arial" w:hAnsi="Arial"/>
      <w:b/>
      <w:bCs/>
      <w:kern w:val="0"/>
      <w:sz w:val="28"/>
      <w:szCs w:val="32"/>
    </w:rPr>
  </w:style>
  <w:style w:type="paragraph" w:styleId="4">
    <w:name w:val="heading 3"/>
    <w:basedOn w:val="1"/>
    <w:next w:val="5"/>
    <w:autoRedefine/>
    <w:qFormat/>
    <w:uiPriority w:val="0"/>
    <w:pPr>
      <w:keepNext/>
      <w:spacing w:beforeLines="200" w:line="400" w:lineRule="exact"/>
      <w:jc w:val="center"/>
      <w:outlineLvl w:val="2"/>
    </w:pPr>
    <w:rPr>
      <w:b/>
      <w:bCs/>
      <w:sz w:val="24"/>
      <w:szCs w:val="24"/>
    </w:rPr>
  </w:style>
  <w:style w:type="paragraph" w:styleId="6">
    <w:name w:val="heading 4"/>
    <w:basedOn w:val="1"/>
    <w:next w:val="1"/>
    <w:unhideWhenUsed/>
    <w:qFormat/>
    <w:uiPriority w:val="0"/>
    <w:pPr>
      <w:spacing w:beforeAutospacing="1" w:afterAutospacing="1"/>
      <w:jc w:val="left"/>
      <w:outlineLvl w:val="3"/>
    </w:pPr>
    <w:rPr>
      <w:rFonts w:hint="eastAsia" w:ascii="宋体" w:hAnsi="宋体"/>
      <w:b/>
      <w:bCs/>
      <w:kern w:val="0"/>
      <w:sz w:val="24"/>
      <w:szCs w:val="24"/>
    </w:rPr>
  </w:style>
  <w:style w:type="paragraph" w:styleId="7">
    <w:name w:val="heading 5"/>
    <w:basedOn w:val="1"/>
    <w:next w:val="1"/>
    <w:unhideWhenUsed/>
    <w:qFormat/>
    <w:uiPriority w:val="0"/>
    <w:pPr>
      <w:adjustRightInd w:val="0"/>
      <w:spacing w:line="360" w:lineRule="auto"/>
      <w:outlineLvl w:val="4"/>
    </w:pPr>
    <w:rPr>
      <w:b/>
      <w:bCs/>
      <w:szCs w:val="24"/>
    </w:rPr>
  </w:style>
  <w:style w:type="paragraph" w:styleId="8">
    <w:name w:val="heading 6"/>
    <w:basedOn w:val="1"/>
    <w:next w:val="1"/>
    <w:semiHidden/>
    <w:unhideWhenUsed/>
    <w:qFormat/>
    <w:uiPriority w:val="0"/>
    <w:pPr>
      <w:spacing w:beforeAutospacing="1" w:afterAutospacing="1"/>
      <w:jc w:val="left"/>
      <w:outlineLvl w:val="5"/>
    </w:pPr>
    <w:rPr>
      <w:rFonts w:hint="eastAsia" w:ascii="宋体" w:hAnsi="宋体"/>
      <w:b/>
      <w:bCs/>
      <w:kern w:val="0"/>
      <w:sz w:val="15"/>
      <w:szCs w:val="15"/>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spacing w:line="300" w:lineRule="auto"/>
      <w:ind w:firstLine="420" w:firstLineChars="200"/>
    </w:pPr>
    <w:rPr>
      <w:szCs w:val="24"/>
    </w:rPr>
  </w:style>
  <w:style w:type="paragraph" w:styleId="9">
    <w:name w:val="annotation text"/>
    <w:basedOn w:val="1"/>
    <w:autoRedefine/>
    <w:qFormat/>
    <w:uiPriority w:val="99"/>
    <w:pPr>
      <w:jc w:val="left"/>
    </w:pPr>
    <w:rPr>
      <w:szCs w:val="24"/>
    </w:rPr>
  </w:style>
  <w:style w:type="paragraph" w:styleId="10">
    <w:name w:val="Body Text"/>
    <w:basedOn w:val="1"/>
    <w:next w:val="1"/>
    <w:autoRedefine/>
    <w:qFormat/>
    <w:uiPriority w:val="0"/>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31"/>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Body Text 2"/>
    <w:basedOn w:val="1"/>
    <w:qFormat/>
    <w:uiPriority w:val="0"/>
    <w:pPr>
      <w:tabs>
        <w:tab w:val="left" w:pos="1134"/>
      </w:tabs>
      <w:spacing w:line="480" w:lineRule="auto"/>
    </w:pPr>
  </w:style>
  <w:style w:type="paragraph" w:styleId="19">
    <w:name w:val="Normal (Web)"/>
    <w:basedOn w:val="1"/>
    <w:autoRedefine/>
    <w:qFormat/>
    <w:uiPriority w:val="99"/>
    <w:pPr>
      <w:widowControl/>
      <w:spacing w:beforeAutospacing="1" w:afterAutospacing="1"/>
      <w:jc w:val="left"/>
    </w:pPr>
    <w:rPr>
      <w:rFonts w:ascii="宋体" w:hAnsi="宋体"/>
      <w:kern w:val="0"/>
      <w:sz w:val="24"/>
      <w:szCs w:val="24"/>
    </w:rPr>
  </w:style>
  <w:style w:type="paragraph" w:styleId="20">
    <w:name w:val="Title"/>
    <w:basedOn w:val="1"/>
    <w:next w:val="1"/>
    <w:link w:val="30"/>
    <w:autoRedefine/>
    <w:qFormat/>
    <w:uiPriority w:val="10"/>
    <w:pPr>
      <w:jc w:val="center"/>
      <w:outlineLvl w:val="0"/>
    </w:pPr>
    <w:rPr>
      <w:rFonts w:ascii="Cambria" w:hAnsi="Cambria"/>
      <w:b/>
      <w:bCs/>
      <w:sz w:val="32"/>
      <w:szCs w:val="32"/>
    </w:rPr>
  </w:style>
  <w:style w:type="paragraph" w:styleId="21">
    <w:name w:val="Body Text First Indent"/>
    <w:basedOn w:val="10"/>
    <w:autoRedefine/>
    <w:unhideWhenUsed/>
    <w:qFormat/>
    <w:uiPriority w:val="99"/>
    <w:pPr>
      <w:ind w:firstLine="420" w:firstLineChars="1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qFormat/>
    <w:uiPriority w:val="0"/>
    <w:rPr>
      <w:b/>
    </w:rPr>
  </w:style>
  <w:style w:type="character" w:styleId="26">
    <w:name w:val="Hyperlink"/>
    <w:autoRedefine/>
    <w:qFormat/>
    <w:uiPriority w:val="99"/>
    <w:rPr>
      <w:color w:val="0066CC"/>
      <w:u w:val="none"/>
    </w:rPr>
  </w:style>
  <w:style w:type="character" w:customStyle="1" w:styleId="27">
    <w:name w:val="font11"/>
    <w:autoRedefine/>
    <w:qFormat/>
    <w:uiPriority w:val="0"/>
    <w:rPr>
      <w:rFonts w:hint="default" w:ascii="等线" w:hAnsi="等线" w:eastAsia="等线" w:cs="等线"/>
      <w:color w:val="FF0000"/>
      <w:sz w:val="24"/>
      <w:szCs w:val="24"/>
      <w:u w:val="none"/>
    </w:rPr>
  </w:style>
  <w:style w:type="paragraph" w:customStyle="1" w:styleId="28">
    <w:name w:val="zhang"/>
    <w:basedOn w:val="1"/>
    <w:autoRedefine/>
    <w:qFormat/>
    <w:uiPriority w:val="0"/>
    <w:pPr>
      <w:widowControl/>
      <w:spacing w:before="100" w:beforeAutospacing="1" w:after="100" w:afterAutospacing="1"/>
      <w:jc w:val="left"/>
    </w:pPr>
    <w:rPr>
      <w:rFonts w:ascii="宋体" w:hAnsi="宋体" w:cs="宋体"/>
      <w:b/>
      <w:bCs/>
      <w:smallCaps/>
      <w:color w:val="000000"/>
      <w:kern w:val="0"/>
      <w:sz w:val="20"/>
    </w:rPr>
  </w:style>
  <w:style w:type="paragraph" w:customStyle="1" w:styleId="29">
    <w:name w:val="p0"/>
    <w:basedOn w:val="1"/>
    <w:autoRedefine/>
    <w:qFormat/>
    <w:uiPriority w:val="0"/>
    <w:pPr>
      <w:widowControl/>
      <w:snapToGrid w:val="0"/>
      <w:spacing w:line="312" w:lineRule="atLeast"/>
      <w:textAlignment w:val="baseline"/>
    </w:pPr>
    <w:rPr>
      <w:kern w:val="0"/>
      <w:szCs w:val="21"/>
    </w:rPr>
  </w:style>
  <w:style w:type="character" w:customStyle="1" w:styleId="30">
    <w:name w:val="标题 Char"/>
    <w:link w:val="20"/>
    <w:autoRedefine/>
    <w:qFormat/>
    <w:uiPriority w:val="10"/>
    <w:rPr>
      <w:rFonts w:ascii="Cambria" w:hAnsi="Cambria"/>
      <w:b/>
      <w:bCs/>
      <w:sz w:val="32"/>
      <w:szCs w:val="32"/>
    </w:rPr>
  </w:style>
  <w:style w:type="character" w:customStyle="1" w:styleId="31">
    <w:name w:val="副标题 Char"/>
    <w:link w:val="15"/>
    <w:autoRedefine/>
    <w:qFormat/>
    <w:uiPriority w:val="11"/>
    <w:rPr>
      <w:rFonts w:ascii="Cambria" w:hAnsi="Cambria"/>
      <w:b/>
      <w:bCs/>
      <w:kern w:val="28"/>
      <w:sz w:val="32"/>
      <w:szCs w:val="32"/>
    </w:rPr>
  </w:style>
  <w:style w:type="paragraph" w:customStyle="1" w:styleId="32">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3">
    <w:name w:val="fontstyle31"/>
    <w:autoRedefine/>
    <w:qFormat/>
    <w:uiPriority w:val="0"/>
    <w:rPr>
      <w:rFonts w:ascii="TimesNewRomanPSMT" w:hAnsi="TimesNewRomanPSMT" w:eastAsia="TimesNewRomanPSMT" w:cs="TimesNewRomanPSMT"/>
      <w:color w:val="000000"/>
      <w:sz w:val="12"/>
      <w:szCs w:val="12"/>
    </w:rPr>
  </w:style>
  <w:style w:type="character" w:customStyle="1" w:styleId="34">
    <w:name w:val="fontstyle01"/>
    <w:autoRedefine/>
    <w:qFormat/>
    <w:uiPriority w:val="0"/>
    <w:rPr>
      <w:rFonts w:ascii="宋体" w:hAnsi="宋体" w:eastAsia="宋体" w:cs="宋体"/>
      <w:color w:val="000000"/>
      <w:sz w:val="36"/>
      <w:szCs w:val="36"/>
    </w:rPr>
  </w:style>
  <w:style w:type="paragraph" w:customStyle="1" w:styleId="35">
    <w:name w:val="null3"/>
    <w:hidden/>
    <w:qFormat/>
    <w:uiPriority w:val="0"/>
    <w:rPr>
      <w:rFonts w:hint="eastAsia" w:asciiTheme="minorHAnsi" w:hAnsiTheme="minorHAnsi" w:eastAsiaTheme="minorEastAsia" w:cstheme="minorBidi"/>
      <w:lang w:val="en-US" w:eastAsia="zh-CN" w:bidi="ar-SA"/>
    </w:rPr>
  </w:style>
  <w:style w:type="paragraph" w:customStyle="1" w:styleId="36">
    <w:name w:val="样式 首行缩进:  2 字符"/>
    <w:basedOn w:val="1"/>
    <w:qFormat/>
    <w:uiPriority w:val="0"/>
    <w:pPr>
      <w:spacing w:line="400" w:lineRule="exact"/>
      <w:ind w:firstLine="200" w:firstLineChars="200"/>
    </w:pPr>
    <w:rPr>
      <w:rFonts w:cs="宋体"/>
      <w:sz w:val="24"/>
    </w:rPr>
  </w:style>
  <w:style w:type="paragraph" w:customStyle="1" w:styleId="37">
    <w:name w:val="列出段落1"/>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5839</Words>
  <Characters>6355</Characters>
  <Lines>46</Lines>
  <Paragraphs>13</Paragraphs>
  <TotalTime>28</TotalTime>
  <ScaleCrop>false</ScaleCrop>
  <LinksUpToDate>false</LinksUpToDate>
  <CharactersWithSpaces>6386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范小沛</cp:lastModifiedBy>
  <cp:lastPrinted>2024-12-31T08:33:00Z</cp:lastPrinted>
  <dcterms:modified xsi:type="dcterms:W3CDTF">2026-03-31T08:36:10Z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A0EEA9415D304B9B9D01E9EBE501AE7B_13</vt:lpwstr>
  </property>
  <property fmtid="{D5CDD505-2E9C-101B-9397-08002B2CF9AE}" pid="4" name="KSOTemplateDocerSaveRecord">
    <vt:lpwstr>eyJoZGlkIjoiNmQ5OGRlZmI5OTUzOTJmZGIyZTFhOTU1M2ZmMTc1ODQiLCJ1c2VySWQiOiI0ODQ2ODI1MjcifQ==</vt:lpwstr>
  </property>
</Properties>
</file>