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版本号：NBC-2026-XHGK-G-1020260309001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南郑区2025年省级林业草原改革发展资金重点区域绿化项目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NBC-2026-XHGK-G-10</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南郑区2025年省级林业草原改革发展资金重点区域绿化项目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NBC-2026-XHGK-G-10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南郑区2025年省级林业草原改革发展资金重点区域绿化项目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区域一位于汉中市南郑区中央创新区内的梁山大道路旁，起于清创八度向西北200米处交汇口，途经南祥路口、南星路口、南骏路口，止于铁路高架桥下，全长1.69公里，本次设计绿化区域长度1.6公里，宽度自国道路沿至排水渠处均宽2米，排水渠在向外延伸5米，部分区域宽20米，设计面积10905平方米；区域二位于南郑区陈村水库周边，周高路路旁零星地块绿化提升及原有行道树补植与修剪，总长2.35公里，设计绿化面积800余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采购包1（南郑区2025年省级林业草原改革发展资金重点区域绿化项目）：属于专门面向中小企业采购。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2、法定代表人身份证明或授权书：法定代表人授权书原件及被授权人身份证复印件（法定代表人直接参加投标只须提供法定代表人身份证明原件）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 采办采管〔2024〕20号）文件要求，需提供加盖公章的《汉中市政府采购供应商资格承诺函》）</w:t>
      </w:r>
    </w:p>
    <w:p>
      <w:pPr>
        <w:pStyle w:val="null3"/>
      </w:pPr>
      <w:r>
        <w:rPr>
          <w:rFonts w:ascii="仿宋_GB2312" w:hAnsi="仿宋_GB2312" w:cs="仿宋_GB2312" w:eastAsia="仿宋_GB2312"/>
        </w:rPr>
        <w:t>4、非联合体声明：本项目不接受联合体投标，供应商应提供《非联合体声明》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汉中市汉台区东一环路与风景路交汇处中饮国际办公中心8楼8008室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15319339961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开户名称：纳百川项目管理咨询有限公司汉中分公司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 0539 0920 0086 526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说明：项目结束后留3%作为质保金，剩余7%，原路退回，质保期结束，成活率达到95%，退3%</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1、符合合同、招标文件要求 2、成果完整、准确、合格 3、工期、数量、质量全部达标 4、资料齐全、手续规范 5、无违约、无纠纷 6、满足使用和运行要求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联系电话：15319339961</w:t>
      </w:r>
    </w:p>
    <w:p>
      <w:pPr>
        <w:pStyle w:val="null3"/>
      </w:pPr>
      <w:r>
        <w:rPr>
          <w:rFonts w:ascii="仿宋_GB2312" w:hAnsi="仿宋_GB2312" w:cs="仿宋_GB2312" w:eastAsia="仿宋_GB2312"/>
        </w:rPr>
        <w:t>地址：汉中市汉台区东一环路与风景路交汇处中饮办公中心8楼8008室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位于汉中市南郑区中央创新区内的梁山大道路旁，起于清创八度向西北200米处交汇口，途经南祥路口、南星路口、南骏路口，止于铁路高架桥下，全长1.69公里，本次设计绿化区域长度1.6公里，宽度自国道路沿至排水渠处均宽2米，排水渠在向外延伸5米，部分区域宽20米，设计面积10905平方米；区域二位于南郑区陈村水库周边，周高路路旁零星地块绿化提升及原有行道树补植与修剪，总长2.35公里，设计绿化面积800余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南郑区2025年省级林业草原改革发展资金重点区域绿化项目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标的名称：南郑区2025年省级林业草原改革发展资金重点区域绿化项目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项目目标</w:t>
            </w:r>
          </w:p>
          <w:p>
            <w:pPr>
              <w:pStyle w:val="null3"/>
              <w:ind w:firstLine="480"/>
              <w:jc w:val="left"/>
            </w:pPr>
            <w:r>
              <w:rPr>
                <w:rFonts w:ascii="仿宋_GB2312" w:hAnsi="仿宋_GB2312" w:cs="仿宋_GB2312" w:eastAsia="仿宋_GB2312"/>
                <w:sz w:val="24"/>
              </w:rPr>
              <w:t>在推进汉中市南郑区中央创新区重点区域绿化项目过程中，我们将坚持科学规划，强化系统部署，打造效率与品质并重的工程体系。以</w:t>
            </w:r>
            <w:r>
              <w:rPr>
                <w:rFonts w:ascii="仿宋_GB2312" w:hAnsi="仿宋_GB2312" w:cs="仿宋_GB2312" w:eastAsia="仿宋_GB2312"/>
                <w:sz w:val="24"/>
              </w:rPr>
              <w:t>“红绿相映”为核心定位，以提升朱鹮国家保护研究中心及众多园区企业周边的生态环境为宗旨，将朱鹮保护主题融入景观设计，通过图案造型与园林小品，遵循适地适树原则优选乡土树种，构建复合型生态廊道；科学规划，精心部署，提升绿化美化品位，完善由公路绿化、原生植被和自然山水构成的生态系统，并与周边环境有机衔接，努力打造三季有花、四季常绿、绿树成荫、生态和谐、充满生机的景观公路。</w:t>
            </w:r>
          </w:p>
          <w:p>
            <w:pPr>
              <w:pStyle w:val="null3"/>
              <w:ind w:firstLine="480"/>
              <w:jc w:val="left"/>
            </w:pPr>
            <w:r>
              <w:rPr>
                <w:rFonts w:ascii="仿宋_GB2312" w:hAnsi="仿宋_GB2312" w:cs="仿宋_GB2312" w:eastAsia="仿宋_GB2312"/>
                <w:sz w:val="24"/>
              </w:rPr>
              <w:t>为配套朱鹮国家保护研究中心项目建设，本设计以</w:t>
            </w:r>
            <w:r>
              <w:rPr>
                <w:rFonts w:ascii="仿宋_GB2312" w:hAnsi="仿宋_GB2312" w:cs="仿宋_GB2312" w:eastAsia="仿宋_GB2312"/>
                <w:sz w:val="24"/>
              </w:rPr>
              <w:t>“生态优先、文化融合、物种共生”为核心理念，打造一条以乡土树种香樟为生态基底、珙桐“植物活化石”为文化载体的带状绿化带。通过植物配置与景观营造，既体现了乡土特色，又强化珙桐“植物活化石”的生态价值，呼应朱鹮“东方宝石”的文化意象，构建“一树一鸟一生态”的和谐共生图景，助力周边生态环境提升与生物多样性保护。</w:t>
            </w:r>
          </w:p>
          <w:p>
            <w:pPr>
              <w:pStyle w:val="null3"/>
              <w:numPr>
                <w:ilvl w:val="0"/>
                <w:numId w:val="1"/>
              </w:numPr>
              <w:jc w:val="left"/>
            </w:pPr>
            <w:r>
              <w:rPr>
                <w:rFonts w:ascii="仿宋_GB2312" w:hAnsi="仿宋_GB2312" w:cs="仿宋_GB2312" w:eastAsia="仿宋_GB2312"/>
                <w:sz w:val="24"/>
                <w:b/>
              </w:rPr>
              <w:t>植物选择与配置策略</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1）主行道树：香樟——乡土树种与地方特色</w:t>
            </w:r>
          </w:p>
          <w:p>
            <w:pPr>
              <w:pStyle w:val="null3"/>
              <w:ind w:firstLine="480"/>
              <w:jc w:val="left"/>
            </w:pPr>
            <w:r>
              <w:rPr>
                <w:rFonts w:ascii="仿宋_GB2312" w:hAnsi="仿宋_GB2312" w:cs="仿宋_GB2312" w:eastAsia="仿宋_GB2312"/>
                <w:sz w:val="24"/>
              </w:rPr>
              <w:t>行列式种植：沿国道旁绿化带边线</w:t>
            </w:r>
            <w:r>
              <w:rPr>
                <w:rFonts w:ascii="仿宋_GB2312" w:hAnsi="仿宋_GB2312" w:cs="仿宋_GB2312" w:eastAsia="仿宋_GB2312"/>
                <w:sz w:val="24"/>
              </w:rPr>
              <w:t>2米内列植香樟，株距6米，形成整齐的林冠线，模拟朱鹮迁徙时的队列意象；以其常绿、抗逆性强、冠大荫浓的特点，形成稳定林冠层，构筑绿色廊道骨架；地被栽植耐阴植物与本土草本，形成乔灌草复层结构，提升生物多样性承载力，实现四季有景、步移景异的生态效益与美学价值统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2）主景树：珙桐——生态基底与文化象征</w:t>
            </w:r>
          </w:p>
          <w:p>
            <w:pPr>
              <w:pStyle w:val="null3"/>
              <w:ind w:firstLine="480"/>
              <w:jc w:val="left"/>
            </w:pPr>
            <w:r>
              <w:rPr>
                <w:rFonts w:ascii="仿宋_GB2312" w:hAnsi="仿宋_GB2312" w:cs="仿宋_GB2312" w:eastAsia="仿宋_GB2312"/>
                <w:sz w:val="24"/>
              </w:rPr>
              <w:t>珙桐（</w:t>
            </w:r>
            <w:r>
              <w:rPr>
                <w:rFonts w:ascii="仿宋_GB2312" w:hAnsi="仿宋_GB2312" w:cs="仿宋_GB2312" w:eastAsia="仿宋_GB2312"/>
                <w:sz w:val="24"/>
              </w:rPr>
              <w:t>Davidia involucrata）作为国家一级重点保护野生植物，其白色苞片宛如展翅的白鸽，与朱鹮的优雅形态形成视觉与文化的双重呼应。设计中以珙桐为主景树种，采用“自然丛植”的方式：在朱鹮国家保护研究中心前20米宽的绿化带中成丛种植3-5株珙桐，间距25-30米左右，搭配草花与草坪，还原其原生生境，增强生态真实性。</w:t>
            </w:r>
          </w:p>
          <w:p>
            <w:pPr>
              <w:pStyle w:val="null3"/>
              <w:ind w:firstLine="480"/>
              <w:jc w:val="left"/>
            </w:pPr>
            <w:r>
              <w:rPr>
                <w:rFonts w:ascii="仿宋_GB2312" w:hAnsi="仿宋_GB2312" w:cs="仿宋_GB2312" w:eastAsia="仿宋_GB2312"/>
                <w:sz w:val="24"/>
              </w:rPr>
              <w:t>珙桐的春季白花与朱鹮的白羽、夏季浓荫与朱鹮栖息需求、秋季黄叶与生态季相变化，共同构建</w:t>
            </w:r>
            <w:r>
              <w:rPr>
                <w:rFonts w:ascii="仿宋_GB2312" w:hAnsi="仿宋_GB2312" w:cs="仿宋_GB2312" w:eastAsia="仿宋_GB2312"/>
                <w:sz w:val="24"/>
              </w:rPr>
              <w:t>“四季有景，景随物迁”的动态景观。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3）点缀树种：乡土植物的文化叙事</w:t>
            </w:r>
          </w:p>
          <w:p>
            <w:pPr>
              <w:pStyle w:val="null3"/>
              <w:ind w:firstLine="480"/>
              <w:jc w:val="left"/>
            </w:pPr>
            <w:r>
              <w:rPr>
                <w:rFonts w:ascii="仿宋_GB2312" w:hAnsi="仿宋_GB2312" w:cs="仿宋_GB2312" w:eastAsia="仿宋_GB2312"/>
                <w:sz w:val="24"/>
              </w:rPr>
              <w:t>绿化带中部做连绵不断的微地形，选取桂花、紫薇、樱花、玉兰、梅花、石楠、红枫及灌木球（如金森女贞、红叶石楠）作为辅助植物组团栽植，通过花期衔接、色彩对比、形态互补，强化</w:t>
            </w:r>
            <w:r>
              <w:rPr>
                <w:rFonts w:ascii="仿宋_GB2312" w:hAnsi="仿宋_GB2312" w:cs="仿宋_GB2312" w:eastAsia="仿宋_GB2312"/>
                <w:sz w:val="24"/>
              </w:rPr>
              <w:t>“朱鹮文化”主题：</w:t>
            </w:r>
          </w:p>
          <w:p>
            <w:pPr>
              <w:pStyle w:val="null3"/>
              <w:ind w:firstLine="480"/>
              <w:jc w:val="left"/>
            </w:pPr>
            <w:r>
              <w:rPr>
                <w:rFonts w:ascii="仿宋_GB2312" w:hAnsi="仿宋_GB2312" w:cs="仿宋_GB2312" w:eastAsia="仿宋_GB2312"/>
                <w:sz w:val="24"/>
              </w:rPr>
              <w:t>春季花境：玉兰（白色）与樱花（粉白）沿珙桐林下散植，呼应朱鹮羽色；梅花（红</w:t>
            </w:r>
            <w:r>
              <w:rPr>
                <w:rFonts w:ascii="仿宋_GB2312" w:hAnsi="仿宋_GB2312" w:cs="仿宋_GB2312" w:eastAsia="仿宋_GB2312"/>
                <w:sz w:val="24"/>
              </w:rPr>
              <w:t>/白）作为早春先驱，象征朱鹮保护的坚韧精神。</w:t>
            </w:r>
          </w:p>
          <w:p>
            <w:pPr>
              <w:pStyle w:val="null3"/>
              <w:ind w:firstLine="480"/>
              <w:jc w:val="left"/>
            </w:pPr>
            <w:r>
              <w:rPr>
                <w:rFonts w:ascii="仿宋_GB2312" w:hAnsi="仿宋_GB2312" w:cs="仿宋_GB2312" w:eastAsia="仿宋_GB2312"/>
                <w:sz w:val="24"/>
              </w:rPr>
              <w:t>夏季生境：紫薇（紫</w:t>
            </w:r>
            <w:r>
              <w:rPr>
                <w:rFonts w:ascii="仿宋_GB2312" w:hAnsi="仿宋_GB2312" w:cs="仿宋_GB2312" w:eastAsia="仿宋_GB2312"/>
                <w:sz w:val="24"/>
              </w:rPr>
              <w:t>/粉）与红枫（新叶鲜红）搭配，丰富林缘色彩；石楠（常绿）与灌木球形成绿篱，模拟朱鹮筑巢所需的隐蔽空间。</w:t>
            </w:r>
          </w:p>
          <w:p>
            <w:pPr>
              <w:pStyle w:val="null3"/>
              <w:ind w:firstLine="480"/>
              <w:jc w:val="left"/>
            </w:pPr>
            <w:r>
              <w:rPr>
                <w:rFonts w:ascii="仿宋_GB2312" w:hAnsi="仿宋_GB2312" w:cs="仿宋_GB2312" w:eastAsia="仿宋_GB2312"/>
                <w:sz w:val="24"/>
              </w:rPr>
              <w:t>秋季意境：桂花（金黄）的馥郁香气与珙桐黄叶营造</w:t>
            </w:r>
            <w:r>
              <w:rPr>
                <w:rFonts w:ascii="仿宋_GB2312" w:hAnsi="仿宋_GB2312" w:cs="仿宋_GB2312" w:eastAsia="仿宋_GB2312"/>
                <w:sz w:val="24"/>
              </w:rPr>
              <w:t>“金风送爽，珍禽和鸣”的诗意场景，暗合朱鹮栖息地的自然氛围。</w:t>
            </w:r>
          </w:p>
          <w:p>
            <w:pPr>
              <w:pStyle w:val="null3"/>
              <w:ind w:firstLine="480"/>
              <w:jc w:val="left"/>
            </w:pPr>
            <w:r>
              <w:rPr>
                <w:rFonts w:ascii="仿宋_GB2312" w:hAnsi="仿宋_GB2312" w:cs="仿宋_GB2312" w:eastAsia="仿宋_GB2312"/>
                <w:sz w:val="24"/>
              </w:rPr>
              <w:t>冬季生机：石楠的红果、绿叶的苍翠，与珙桐的苍劲枝干共同构成</w:t>
            </w:r>
            <w:r>
              <w:rPr>
                <w:rFonts w:ascii="仿宋_GB2312" w:hAnsi="仿宋_GB2312" w:cs="仿宋_GB2312" w:eastAsia="仿宋_GB2312"/>
                <w:sz w:val="24"/>
              </w:rPr>
              <w:t>“万物蛰伏，生命不息”的生态哲学，凸显保护主题。</w:t>
            </w:r>
          </w:p>
          <w:p>
            <w:pPr>
              <w:pStyle w:val="null3"/>
              <w:ind w:firstLine="480"/>
              <w:jc w:val="left"/>
            </w:pPr>
            <w:r>
              <w:rPr>
                <w:rFonts w:ascii="仿宋_GB2312" w:hAnsi="仿宋_GB2312" w:cs="仿宋_GB2312" w:eastAsia="仿宋_GB2312"/>
                <w:sz w:val="24"/>
              </w:rPr>
              <w:t>所有辅助树种均为本地适生品种，避免外来物种入侵风险，确保生态系统稳定性。</w:t>
            </w:r>
          </w:p>
          <w:p>
            <w:pPr>
              <w:pStyle w:val="null3"/>
              <w:ind w:firstLine="482"/>
              <w:jc w:val="left"/>
            </w:pPr>
            <w:r>
              <w:rPr>
                <w:rFonts w:ascii="仿宋_GB2312" w:hAnsi="仿宋_GB2312" w:cs="仿宋_GB2312" w:eastAsia="仿宋_GB2312"/>
                <w:sz w:val="24"/>
                <w:b/>
              </w:rPr>
              <w:t>2、空间布局与功能融合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1）生态功能：构建朱鹮友好型栖息地</w:t>
            </w:r>
          </w:p>
          <w:p>
            <w:pPr>
              <w:pStyle w:val="null3"/>
              <w:ind w:firstLine="480"/>
              <w:jc w:val="left"/>
            </w:pPr>
            <w:r>
              <w:rPr>
                <w:rFonts w:ascii="仿宋_GB2312" w:hAnsi="仿宋_GB2312" w:cs="仿宋_GB2312" w:eastAsia="仿宋_GB2312"/>
                <w:sz w:val="24"/>
              </w:rPr>
              <w:t>食物链支撑：保留部分林下原生草本（如蒲公英、紫花地丁），为昆虫、小型鸟类提供食源，间接支持朱鹮食物链；</w:t>
            </w:r>
          </w:p>
          <w:p>
            <w:pPr>
              <w:pStyle w:val="null3"/>
              <w:ind w:firstLine="480"/>
              <w:jc w:val="left"/>
            </w:pPr>
            <w:r>
              <w:rPr>
                <w:rFonts w:ascii="仿宋_GB2312" w:hAnsi="仿宋_GB2312" w:cs="仿宋_GB2312" w:eastAsia="仿宋_GB2312"/>
                <w:sz w:val="24"/>
              </w:rPr>
              <w:t>微生境营造：通过乔木、灌木、地被的三层结构，形成</w:t>
            </w:r>
            <w:r>
              <w:rPr>
                <w:rFonts w:ascii="仿宋_GB2312" w:hAnsi="仿宋_GB2312" w:cs="仿宋_GB2312" w:eastAsia="仿宋_GB2312"/>
                <w:sz w:val="24"/>
              </w:rPr>
              <w:t>“上层香樟、珙桐提供遮荫，中层灌木构建屏障，下层草本保持水土”的复合生境，模拟朱鹮野外栖息地特征。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2）生态功能：朱鹮故事的景观表达</w:t>
            </w:r>
          </w:p>
          <w:p>
            <w:pPr>
              <w:pStyle w:val="null3"/>
              <w:ind w:firstLine="480"/>
              <w:jc w:val="left"/>
            </w:pPr>
            <w:r>
              <w:rPr>
                <w:rFonts w:ascii="仿宋_GB2312" w:hAnsi="仿宋_GB2312" w:cs="仿宋_GB2312" w:eastAsia="仿宋_GB2312"/>
                <w:sz w:val="24"/>
              </w:rPr>
              <w:t>景观主题：珙桐盛开的</w:t>
            </w:r>
            <w:r>
              <w:rPr>
                <w:rFonts w:ascii="仿宋_GB2312" w:hAnsi="仿宋_GB2312" w:cs="仿宋_GB2312" w:eastAsia="仿宋_GB2312"/>
                <w:sz w:val="24"/>
              </w:rPr>
              <w:t>“白鸽”形象，直观呼应朱鹮展翅翱翔的优美姿态，成为贯穿绿带的核心文化符号。</w:t>
            </w:r>
          </w:p>
          <w:p>
            <w:pPr>
              <w:pStyle w:val="null3"/>
              <w:ind w:firstLine="480"/>
              <w:jc w:val="left"/>
            </w:pPr>
            <w:r>
              <w:rPr>
                <w:rFonts w:ascii="仿宋_GB2312" w:hAnsi="仿宋_GB2312" w:cs="仿宋_GB2312" w:eastAsia="仿宋_GB2312"/>
                <w:sz w:val="24"/>
              </w:rPr>
              <w:t>生态叙事：整体植物配置模拟朱鹮栖息地的生态环境特征（如近水、多层次植被），潜移默化传递保护理念。</w:t>
            </w:r>
          </w:p>
          <w:p>
            <w:pPr>
              <w:pStyle w:val="null3"/>
              <w:ind w:firstLine="482"/>
              <w:jc w:val="left"/>
            </w:pPr>
            <w:r>
              <w:rPr>
                <w:rFonts w:ascii="仿宋_GB2312" w:hAnsi="仿宋_GB2312" w:cs="仿宋_GB2312" w:eastAsia="仿宋_GB2312"/>
                <w:sz w:val="24"/>
                <w:b/>
              </w:rPr>
              <w:t>3.生态技术与可持续性</w:t>
            </w:r>
          </w:p>
          <w:p>
            <w:pPr>
              <w:pStyle w:val="null3"/>
              <w:ind w:firstLine="480"/>
              <w:jc w:val="left"/>
            </w:pPr>
            <w:r>
              <w:rPr>
                <w:rFonts w:ascii="仿宋_GB2312" w:hAnsi="仿宋_GB2312" w:cs="仿宋_GB2312" w:eastAsia="仿宋_GB2312"/>
                <w:sz w:val="24"/>
              </w:rPr>
              <w:t>乡土化种植：所有植物均选汉中当地，确保适应当地气候土壤，降低养护成本；</w:t>
            </w:r>
          </w:p>
          <w:p>
            <w:pPr>
              <w:pStyle w:val="null3"/>
              <w:ind w:firstLine="480"/>
              <w:jc w:val="left"/>
            </w:pPr>
            <w:r>
              <w:rPr>
                <w:rFonts w:ascii="仿宋_GB2312" w:hAnsi="仿宋_GB2312" w:cs="仿宋_GB2312" w:eastAsia="仿宋_GB2312"/>
                <w:sz w:val="24"/>
              </w:rPr>
              <w:t>低干预管理：减少人工修剪频率，保留枯枝落叶层，为昆虫提供栖息地，促进物质循环，构建近自然的</w:t>
            </w:r>
            <w:r>
              <w:rPr>
                <w:rFonts w:ascii="仿宋_GB2312" w:hAnsi="仿宋_GB2312" w:cs="仿宋_GB2312" w:eastAsia="仿宋_GB2312"/>
                <w:sz w:val="24"/>
              </w:rPr>
              <w:t>“城市森林”生态系统。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（二）区域划分</w:t>
            </w:r>
          </w:p>
          <w:p>
            <w:pPr>
              <w:pStyle w:val="null3"/>
              <w:ind w:firstLine="480"/>
              <w:jc w:val="left"/>
            </w:pPr>
            <w:r>
              <w:rPr>
                <w:rFonts w:ascii="仿宋_GB2312" w:hAnsi="仿宋_GB2312" w:cs="仿宋_GB2312" w:eastAsia="仿宋_GB2312"/>
                <w:sz w:val="24"/>
              </w:rPr>
              <w:t>该项目区域一位于汉中市南郑区中央创新区内的梁山大道路旁，起于清创八度向西北</w:t>
            </w:r>
            <w:r>
              <w:rPr>
                <w:rFonts w:ascii="仿宋_GB2312" w:hAnsi="仿宋_GB2312" w:cs="仿宋_GB2312" w:eastAsia="仿宋_GB2312"/>
                <w:sz w:val="24"/>
              </w:rPr>
              <w:t>200米处交汇口，途经南祥路口、南星路口、南骏路口，止于铁路高架桥下，全长1.69公里，本次设计绿化区域长度1.6公里，宽度自国道路沿至排水渠处均宽2米，排水渠再向外延伸5米，部分区域宽20米，设计面积10905平方米；区域二位于南郑区陈村水库周边，周高路路旁零星地块绿化提升及原有行道树补植与修剪，总长2.35公里，设计绿化面积800余平方米。</w:t>
            </w:r>
          </w:p>
          <w:p>
            <w:pPr>
              <w:pStyle w:val="null3"/>
              <w:ind w:firstLine="482"/>
              <w:jc w:val="left"/>
            </w:pPr>
            <w:r>
              <w:rPr>
                <w:rFonts w:ascii="仿宋_GB2312" w:hAnsi="仿宋_GB2312" w:cs="仿宋_GB2312" w:eastAsia="仿宋_GB2312"/>
                <w:sz w:val="24"/>
                <w:b/>
              </w:rPr>
              <w:t>1.区域一实施范围及实施内容</w:t>
            </w:r>
          </w:p>
          <w:p>
            <w:pPr>
              <w:pStyle w:val="null3"/>
              <w:jc w:val="left"/>
              <w:outlineLvl w:val="1"/>
            </w:pPr>
            <w:r>
              <w:rPr>
                <w:rFonts w:ascii="仿宋_GB2312" w:hAnsi="仿宋_GB2312" w:cs="仿宋_GB2312" w:eastAsia="仿宋_GB2312"/>
                <w:sz w:val="24"/>
                <w:b/>
              </w:rPr>
              <w:t>1.1实施范围：实施范围为汉中市南郑区中央创新区梁山大道路侧，全长1.69公里，设计绿化区域长度1.6公里，宽度自国道路沿至排水渠处均宽2米，排水渠在向外延伸5米，部分区域宽20米，总面积10905平方米。该项目重点实施行道绿化、朱鹮国家保护研究中心旁路边景观节点及主要路口边景观节点打造。规划以1.69公里公路行道树栽植为主线，以沿线零星景观节点为点，排水渠外侧5米宽浅耕植物花卉带为面，形成点、线、面结合的绿化体系，着力打造一条以香樟为主行道树，大花月季、连翘等浅根植物花卉为色带，麦冬草、红花酢酱草为地被的带状景观生态绿廊，以助力周边生态环境提升与生物多样性保护。</w:t>
            </w:r>
          </w:p>
          <w:p>
            <w:pPr>
              <w:pStyle w:val="null3"/>
              <w:ind w:firstLine="241"/>
              <w:jc w:val="both"/>
            </w:pPr>
            <w:r>
              <w:rPr>
                <w:rFonts w:ascii="仿宋_GB2312" w:hAnsi="仿宋_GB2312" w:cs="仿宋_GB2312" w:eastAsia="仿宋_GB2312"/>
                <w:sz w:val="24"/>
                <w:b/>
              </w:rPr>
              <w:t>1.2、实施内容</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①</w:t>
            </w:r>
            <w:r>
              <w:rPr>
                <w:rFonts w:ascii="仿宋_GB2312" w:hAnsi="仿宋_GB2312" w:cs="仿宋_GB2312" w:eastAsia="仿宋_GB2312"/>
                <w:sz w:val="24"/>
                <w:b/>
              </w:rPr>
              <w:t>标准段一：</w:t>
            </w:r>
            <w:r>
              <w:rPr>
                <w:rFonts w:ascii="仿宋_GB2312" w:hAnsi="仿宋_GB2312" w:cs="仿宋_GB2312" w:eastAsia="仿宋_GB2312"/>
                <w:sz w:val="24"/>
              </w:rPr>
              <w:t>均宽</w:t>
            </w:r>
            <w:r>
              <w:rPr>
                <w:rFonts w:ascii="仿宋_GB2312" w:hAnsi="仿宋_GB2312" w:cs="仿宋_GB2312" w:eastAsia="仿宋_GB2312"/>
                <w:sz w:val="24"/>
              </w:rPr>
              <w:t>2米绿化带，长度约1500米，采用香樟（13-15公分）做主行道树，株行距6米，地面靠路边处栽植均宽1米麦冬草，外侧剩余1米宽区域栽植红花酢酱草。</w:t>
            </w:r>
          </w:p>
          <w:p>
            <w:pPr>
              <w:pStyle w:val="null3"/>
              <w:ind w:firstLine="240"/>
              <w:jc w:val="both"/>
            </w:pPr>
            <w:r>
              <w:rPr>
                <w:rFonts w:ascii="仿宋_GB2312" w:hAnsi="仿宋_GB2312" w:cs="仿宋_GB2312" w:eastAsia="仿宋_GB2312"/>
                <w:sz w:val="24"/>
              </w:rPr>
              <w:t>②</w:t>
            </w:r>
            <w:r>
              <w:rPr>
                <w:rFonts w:ascii="仿宋_GB2312" w:hAnsi="仿宋_GB2312" w:cs="仿宋_GB2312" w:eastAsia="仿宋_GB2312"/>
                <w:sz w:val="24"/>
                <w:b/>
              </w:rPr>
              <w:t>标准段二：</w:t>
            </w:r>
            <w:r>
              <w:rPr>
                <w:rFonts w:ascii="仿宋_GB2312" w:hAnsi="仿宋_GB2312" w:cs="仿宋_GB2312" w:eastAsia="仿宋_GB2312"/>
                <w:sz w:val="24"/>
              </w:rPr>
              <w:t>均宽</w:t>
            </w:r>
            <w:r>
              <w:rPr>
                <w:rFonts w:ascii="仿宋_GB2312" w:hAnsi="仿宋_GB2312" w:cs="仿宋_GB2312" w:eastAsia="仿宋_GB2312"/>
                <w:sz w:val="24"/>
              </w:rPr>
              <w:t>2米绿化带，长度约1500米，采用香樟（13-15公分）做主行道树，株行距6米，地面靠路边处栽植均宽1米麦冬草，外侧剩余1米宽区域栽植红花酢酱草。</w:t>
            </w:r>
          </w:p>
          <w:p>
            <w:pPr>
              <w:pStyle w:val="null3"/>
              <w:ind w:firstLine="240"/>
              <w:jc w:val="both"/>
            </w:pPr>
            <w:r>
              <w:rPr>
                <w:rFonts w:ascii="仿宋_GB2312" w:hAnsi="仿宋_GB2312" w:cs="仿宋_GB2312" w:eastAsia="仿宋_GB2312"/>
                <w:sz w:val="24"/>
              </w:rPr>
              <w:t>③</w:t>
            </w:r>
            <w:r>
              <w:rPr>
                <w:rFonts w:ascii="仿宋_GB2312" w:hAnsi="仿宋_GB2312" w:cs="仿宋_GB2312" w:eastAsia="仿宋_GB2312"/>
                <w:sz w:val="24"/>
                <w:b/>
              </w:rPr>
              <w:t>标准段三：</w:t>
            </w:r>
            <w:r>
              <w:rPr>
                <w:rFonts w:ascii="仿宋_GB2312" w:hAnsi="仿宋_GB2312" w:cs="仿宋_GB2312" w:eastAsia="仿宋_GB2312"/>
                <w:sz w:val="24"/>
              </w:rPr>
              <w:t>宽度</w:t>
            </w:r>
            <w:r>
              <w:rPr>
                <w:rFonts w:ascii="仿宋_GB2312" w:hAnsi="仿宋_GB2312" w:cs="仿宋_GB2312" w:eastAsia="仿宋_GB2312"/>
                <w:sz w:val="24"/>
              </w:rPr>
              <w:t>20米，长度约100米，位于朱鹮国家保护研究中心旁及部分厂区门口，路边处仍同标准段一设计实施，外侧水塘填土平整后分段做长度约20米、均宽5米的微地形结构。这些微地形沿道路方向呈带状布局，以模拟自然丘陵的起伏形态，构成连绵不断的景观空间，为车辆和行人提供动态视觉缓冲。每个微地形上密集栽植多种观赏树种，包括紫薇、樱花、玉兰等花木，搭配珙桐、高杆红叶石楠、柱状石楠、红枫、羽毛枫等乔木，以及红叶石楠球、大叶黄杨球、海桐球、红花继木球等灌木球体，并辅以石楠苗、女贞苗、继木苗等多彩绿篱幼苗，形成高低错落、疏密有致的层次。地表全面撒播耐寒草籽或铺设高质量草坪，确保秋冬季节草色青翠或金黄，实现四季景观的连续变化。整体设计通过植物多样性和微地形组合，有效提升朱鹮国家保护研究中心周边区域的整体美观度，营造出自然和谐的生态环境，同时兼顾生态功能如水土保持和生物多样性促进。</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b/>
              </w:rPr>
              <w:t>路口景观节点：</w:t>
            </w:r>
            <w:r>
              <w:rPr>
                <w:rFonts w:ascii="仿宋_GB2312" w:hAnsi="仿宋_GB2312" w:cs="仿宋_GB2312" w:eastAsia="仿宋_GB2312"/>
                <w:sz w:val="24"/>
              </w:rPr>
              <w:t>在南祥路、南星路、南骏路路口处，选择较宽敞区域，设计多层次绿化景观，做微地形造景，营造视觉焦点。选用特色树种珙桐作为主景树，组团配置乔灌木（柱状石楠、红枫、羽毛枫、无刺枸骨球、红叶石楠球、金叶女贞球、大叶黄杨球等），辅以四季花卉绿篱（毛叶杜鹃、南天竹、红花继木、红叶石楠、金叶女贞等），确保四季色彩轮替（春季以杜鹃、红花继木为主，夏季观叶，秋季突出红枫、羽毛枫，冬季依靠常绿植物及彩叶球类），增强生物多样性。同时注重与周边道路绿化带的自然过渡，利用绿篱和地被植物的延伸，模糊硬质边界，形成有机统一的景观界面。</w:t>
            </w:r>
          </w:p>
          <w:p>
            <w:pPr>
              <w:pStyle w:val="null3"/>
              <w:ind w:firstLine="482"/>
              <w:jc w:val="both"/>
            </w:pPr>
            <w:r>
              <w:rPr>
                <w:rFonts w:ascii="仿宋_GB2312" w:hAnsi="仿宋_GB2312" w:cs="仿宋_GB2312" w:eastAsia="仿宋_GB2312"/>
                <w:sz w:val="24"/>
                <w:b/>
              </w:rPr>
              <w:t>2、区域二实施范围及实施内容</w:t>
            </w:r>
          </w:p>
          <w:p>
            <w:pPr>
              <w:pStyle w:val="null3"/>
              <w:ind w:firstLine="482"/>
              <w:jc w:val="both"/>
            </w:pPr>
            <w:r>
              <w:rPr>
                <w:rFonts w:ascii="仿宋_GB2312" w:hAnsi="仿宋_GB2312" w:cs="仿宋_GB2312" w:eastAsia="仿宋_GB2312"/>
                <w:sz w:val="24"/>
                <w:b/>
              </w:rPr>
              <w:t>2.1实施范围</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为汉中市南郑区周高路路旁，紧邻陈村水库，涉及路段约</w:t>
            </w:r>
            <w:r>
              <w:rPr>
                <w:rFonts w:ascii="仿宋_GB2312" w:hAnsi="仿宋_GB2312" w:cs="仿宋_GB2312" w:eastAsia="仿宋_GB2312"/>
                <w:sz w:val="24"/>
              </w:rPr>
              <w:t>2.3公里长。陈村水库作为重要水系，其沿岸生态景观对区域环境质量、乡村风貌及水土保持具有关键影响。通过科学绿化提升，构建生态防护稳固、四季景观丰富、地域特色鲜明的景观公路，显著改善沿线环境品质，增强生态服务功能，提升村民生活幸福感及乡村形象。</w:t>
            </w:r>
          </w:p>
          <w:p>
            <w:pPr>
              <w:pStyle w:val="null3"/>
              <w:ind w:firstLine="482"/>
              <w:jc w:val="both"/>
            </w:pPr>
            <w:r>
              <w:rPr>
                <w:rFonts w:ascii="仿宋_GB2312" w:hAnsi="仿宋_GB2312" w:cs="仿宋_GB2312" w:eastAsia="仿宋_GB2312"/>
                <w:sz w:val="24"/>
                <w:b/>
              </w:rPr>
              <w:t>2.2实施内容（分为3个地块）：</w:t>
            </w:r>
          </w:p>
          <w:p>
            <w:pPr>
              <w:pStyle w:val="null3"/>
              <w:ind w:firstLine="480"/>
              <w:jc w:val="both"/>
            </w:pPr>
            <w:r>
              <w:rPr>
                <w:rFonts w:ascii="仿宋_GB2312" w:hAnsi="仿宋_GB2312" w:cs="仿宋_GB2312" w:eastAsia="仿宋_GB2312"/>
                <w:sz w:val="24"/>
              </w:rPr>
              <w:t>①地块一:位于南郑区陈村路口西侧，该处为临时的停车区域，内与耕地相连，长度320米，在与耕地相交一侧，栽植一排米径8cm以上紫薇，树空栽植红叶石楠球，地表分段栽植1米宽红叶石楠苗及鸢尾，打造一条绿化带，有效与耕地进行区分，既能使整体环境更规整美观，也能提升停车区使用性能。</w:t>
            </w:r>
          </w:p>
          <w:p>
            <w:pPr>
              <w:pStyle w:val="null3"/>
              <w:ind w:firstLine="480"/>
              <w:jc w:val="both"/>
            </w:pPr>
            <w:r>
              <w:rPr>
                <w:rFonts w:ascii="仿宋_GB2312" w:hAnsi="仿宋_GB2312" w:cs="仿宋_GB2312" w:eastAsia="仿宋_GB2312"/>
                <w:sz w:val="24"/>
              </w:rPr>
              <w:t>②地块二：位于陈村水库西边观景台路内侧坡跟处，将坡跟处原有竹子进行梳理与移植，对坡跟塌方处空缺进行填补，以对坡体进行遮挡。竹子外栽植一排紫薇，树空套栽红叶石楠球，路边沿道路内侧延伸栽植100米，地表栽植鸢尾。竹子外侧扇形空地，做微地形配置香樟、桂花、玉兰、樱花、红枫等乔木，红花继木球、大叶黄杨球等灌木与红叶石楠苗、红花继木苗等色带绿篱，地表空白区域栽植麦冬草，打造成一个小型景观节点，以有效提升水库周边环境。</w:t>
            </w:r>
          </w:p>
          <w:p>
            <w:pPr>
              <w:pStyle w:val="null3"/>
              <w:ind w:firstLine="480"/>
              <w:jc w:val="both"/>
            </w:pPr>
            <w:r>
              <w:rPr>
                <w:rFonts w:ascii="仿宋_GB2312" w:hAnsi="仿宋_GB2312" w:cs="仿宋_GB2312" w:eastAsia="仿宋_GB2312"/>
                <w:sz w:val="24"/>
              </w:rPr>
              <w:t>③地块三：位于陈村水库西边路旁，为观景台至陈村田园居农家乐行道树路段，对沿线部分缺失的紫薇进行补植，使整体更具连贯性，并对原有红叶石楠球进行养护修剪，使行道树能够整齐划一，以提高道路美观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numPr>
                <w:ilvl w:val="0"/>
                <w:numId w:val="2"/>
              </w:numPr>
              <w:jc w:val="both"/>
            </w:pPr>
            <w:r>
              <w:rPr>
                <w:rFonts w:ascii="仿宋_GB2312" w:hAnsi="仿宋_GB2312" w:cs="仿宋_GB2312" w:eastAsia="仿宋_GB2312"/>
                <w:sz w:val="24"/>
                <w:b/>
              </w:rPr>
              <w:t>（四）技术标准</w:t>
            </w:r>
          </w:p>
          <w:p>
            <w:pPr>
              <w:pStyle w:val="null3"/>
              <w:jc w:val="left"/>
              <w:outlineLvl w:val="2"/>
            </w:pPr>
            <w:r>
              <w:rPr>
                <w:rFonts w:ascii="仿宋_GB2312" w:hAnsi="仿宋_GB2312" w:cs="仿宋_GB2312" w:eastAsia="仿宋_GB2312"/>
                <w:sz w:val="24"/>
                <w:b/>
              </w:rPr>
              <w:t>1、清灌</w:t>
            </w:r>
          </w:p>
          <w:p>
            <w:pPr>
              <w:pStyle w:val="null3"/>
              <w:ind w:firstLine="480"/>
              <w:jc w:val="left"/>
            </w:pPr>
            <w:r>
              <w:rPr>
                <w:rFonts w:ascii="仿宋_GB2312" w:hAnsi="仿宋_GB2312" w:cs="仿宋_GB2312" w:eastAsia="仿宋_GB2312"/>
                <w:sz w:val="24"/>
              </w:rPr>
              <w:t>在进行杂灌清理之前，需要先确定哪些是杂灌木，哪些是有用的植物。按照从外到内的顺序逐步清理杂灌木。首先清理外围的低矮植物，然后再逐步清理靠内的丛生杂灌木。在清理过程中，要保持清洁，及时清理丢弃的杂物和剪枝。根据实际需要确定清理范围，确保清理后的区域整洁、美观。对于生态环境较为复杂的区域，应充分考虑周边环境影响，避免对生态环境造成二次破坏。清理标准为全面清理时无杂草杂灌的面积不能少于</w:t>
            </w:r>
            <w:r>
              <w:rPr>
                <w:rFonts w:ascii="仿宋_GB2312" w:hAnsi="仿宋_GB2312" w:cs="仿宋_GB2312" w:eastAsia="仿宋_GB2312"/>
                <w:sz w:val="24"/>
              </w:rPr>
              <w:t>95%，杂灌杂草存留高度应低于15cm。清理后的区域应无明显的杂灌木残留，且不影响周围植物的生长和美观。根据现场实际情况，清灌面积11700平方米。</w:t>
            </w:r>
          </w:p>
          <w:p>
            <w:pPr>
              <w:pStyle w:val="null3"/>
              <w:jc w:val="left"/>
              <w:outlineLvl w:val="2"/>
            </w:pPr>
            <w:r>
              <w:rPr>
                <w:rFonts w:ascii="仿宋_GB2312" w:hAnsi="仿宋_GB2312" w:cs="仿宋_GB2312" w:eastAsia="仿宋_GB2312"/>
                <w:sz w:val="24"/>
                <w:b/>
              </w:rPr>
              <w:t>2、整理绿化用地</w:t>
            </w:r>
          </w:p>
          <w:p>
            <w:pPr>
              <w:pStyle w:val="null3"/>
              <w:ind w:firstLine="480"/>
              <w:jc w:val="left"/>
            </w:pPr>
            <w:r>
              <w:rPr>
                <w:rFonts w:ascii="仿宋_GB2312" w:hAnsi="仿宋_GB2312" w:cs="仿宋_GB2312" w:eastAsia="仿宋_GB2312"/>
                <w:sz w:val="24"/>
              </w:rPr>
              <w:t>建设单位进行施工方案交底后，施工单位及时进驻工地，对所有绿化区进行土方回填前期平整，对高低不平场地进行倒运平整，将所有绿化区内的石块垃圾进行集中清理，装车外运或进行深坑回填。根据现场实际情况，共计整理绿化用地</w:t>
            </w:r>
            <w:r>
              <w:rPr>
                <w:rFonts w:ascii="仿宋_GB2312" w:hAnsi="仿宋_GB2312" w:cs="仿宋_GB2312" w:eastAsia="仿宋_GB2312"/>
                <w:sz w:val="24"/>
              </w:rPr>
              <w:t>11700平方米。</w:t>
            </w:r>
          </w:p>
          <w:p>
            <w:pPr>
              <w:pStyle w:val="null3"/>
              <w:jc w:val="left"/>
              <w:outlineLvl w:val="2"/>
            </w:pPr>
            <w:r>
              <w:rPr>
                <w:rFonts w:ascii="仿宋_GB2312" w:hAnsi="仿宋_GB2312" w:cs="仿宋_GB2312" w:eastAsia="仿宋_GB2312"/>
                <w:sz w:val="24"/>
                <w:b/>
              </w:rPr>
              <w:t>3、土方回填</w:t>
            </w:r>
          </w:p>
          <w:p>
            <w:pPr>
              <w:pStyle w:val="null3"/>
              <w:ind w:firstLine="480"/>
              <w:jc w:val="left"/>
            </w:pPr>
            <w:r>
              <w:rPr>
                <w:rFonts w:ascii="仿宋_GB2312" w:hAnsi="仿宋_GB2312" w:cs="仿宋_GB2312" w:eastAsia="仿宋_GB2312"/>
                <w:sz w:val="24"/>
              </w:rPr>
              <w:t>回填种植土应为地表熟土，根据当地的土质及资源情况，从周边拉至施工场地，运距</w:t>
            </w:r>
            <w:r>
              <w:rPr>
                <w:rFonts w:ascii="仿宋_GB2312" w:hAnsi="仿宋_GB2312" w:cs="仿宋_GB2312" w:eastAsia="仿宋_GB2312"/>
                <w:sz w:val="24"/>
              </w:rPr>
              <w:t>10公里以内，平均回填土层厚度需达到40公分以上，以保证苗木成活率，土方运至场内，应由人工配合机械进行初步平整塑形，为后期苗木栽植提供良好基础。</w:t>
            </w:r>
          </w:p>
          <w:p>
            <w:pPr>
              <w:pStyle w:val="null3"/>
              <w:jc w:val="left"/>
              <w:outlineLvl w:val="2"/>
            </w:pPr>
            <w:r>
              <w:rPr>
                <w:rFonts w:ascii="仿宋_GB2312" w:hAnsi="仿宋_GB2312" w:cs="仿宋_GB2312" w:eastAsia="仿宋_GB2312"/>
                <w:sz w:val="24"/>
                <w:b/>
              </w:rPr>
              <w:t>4、整地挖坑</w:t>
            </w:r>
          </w:p>
          <w:p>
            <w:pPr>
              <w:pStyle w:val="null3"/>
              <w:ind w:firstLine="480"/>
              <w:jc w:val="left"/>
            </w:pPr>
            <w:r>
              <w:rPr>
                <w:rFonts w:ascii="仿宋_GB2312" w:hAnsi="仿宋_GB2312" w:cs="仿宋_GB2312" w:eastAsia="仿宋_GB2312"/>
                <w:sz w:val="24"/>
              </w:rPr>
              <w:t>整地方式为穴坑、槽状整地，整地时应刨松土壤，清除石块及杂草；对部分石砾、岩石较多地块采取机械整地、进行渣方清理及土壤换填，根据所有乔木的规格开挖植树坑的大小，将挖出的渣土进行外运，更换地表熟土，以提高苗木成活率，达到预期效果。部分规格较大苗木根据实际情况确定整地标准。</w:t>
            </w:r>
          </w:p>
          <w:p>
            <w:pPr>
              <w:pStyle w:val="null3"/>
              <w:jc w:val="left"/>
              <w:outlineLvl w:val="2"/>
            </w:pPr>
            <w:r>
              <w:rPr>
                <w:rFonts w:ascii="仿宋_GB2312" w:hAnsi="仿宋_GB2312" w:cs="仿宋_GB2312" w:eastAsia="仿宋_GB2312"/>
                <w:sz w:val="24"/>
                <w:b/>
              </w:rPr>
              <w:t>5、起苗</w:t>
            </w:r>
          </w:p>
          <w:p>
            <w:pPr>
              <w:pStyle w:val="null3"/>
              <w:ind w:firstLine="480"/>
              <w:jc w:val="left"/>
            </w:pPr>
            <w:r>
              <w:rPr>
                <w:rFonts w:ascii="仿宋_GB2312" w:hAnsi="仿宋_GB2312" w:cs="仿宋_GB2312" w:eastAsia="仿宋_GB2312"/>
                <w:sz w:val="24"/>
              </w:rPr>
              <w:t>因该项目的建设标准较高，所有乔灌木均严格按设计规格采用精品苗木，以提高公路的整体绿化效果。</w:t>
            </w:r>
          </w:p>
          <w:p>
            <w:pPr>
              <w:pStyle w:val="null3"/>
              <w:ind w:firstLine="480"/>
              <w:jc w:val="left"/>
            </w:pPr>
            <w:r>
              <w:rPr>
                <w:rFonts w:ascii="仿宋_GB2312" w:hAnsi="仿宋_GB2312" w:cs="仿宋_GB2312" w:eastAsia="仿宋_GB2312"/>
                <w:sz w:val="24"/>
              </w:rPr>
              <w:t>号苗：所有植物应适合当地气候条件，以生长有丰满干支体系和茁壮的根系，无缺损树节、擦破树皮、受风冻伤害或其他损伤，植物应生长健壮，能承受上部及根部适当的修剪。</w:t>
            </w:r>
          </w:p>
          <w:p>
            <w:pPr>
              <w:pStyle w:val="null3"/>
              <w:jc w:val="left"/>
              <w:outlineLvl w:val="3"/>
            </w:pPr>
            <w:r>
              <w:rPr>
                <w:rFonts w:ascii="仿宋_GB2312" w:hAnsi="仿宋_GB2312" w:cs="仿宋_GB2312" w:eastAsia="仿宋_GB2312"/>
                <w:sz w:val="24"/>
                <w:b/>
              </w:rPr>
              <w:t>起苗：要求土球保持完好，并用蒲包和草绳妥善包装。土球直径一般为干径</w:t>
            </w:r>
            <w:r>
              <w:rPr>
                <w:rFonts w:ascii="仿宋_GB2312" w:hAnsi="仿宋_GB2312" w:cs="仿宋_GB2312" w:eastAsia="仿宋_GB2312"/>
                <w:sz w:val="24"/>
                <w:b/>
              </w:rPr>
              <w:t>1.3米处的8—10倍，土球高度一般为土球直径的2/3左右。</w:t>
            </w:r>
          </w:p>
          <w:p>
            <w:pPr>
              <w:pStyle w:val="null3"/>
              <w:jc w:val="left"/>
              <w:outlineLvl w:val="3"/>
            </w:pPr>
            <w:r>
              <w:rPr>
                <w:rFonts w:ascii="仿宋_GB2312" w:hAnsi="仿宋_GB2312" w:cs="仿宋_GB2312" w:eastAsia="仿宋_GB2312"/>
                <w:sz w:val="24"/>
                <w:b/>
              </w:rPr>
              <w:t>运、卸苗：</w:t>
            </w:r>
          </w:p>
          <w:p>
            <w:pPr>
              <w:pStyle w:val="null3"/>
              <w:ind w:firstLine="480"/>
              <w:jc w:val="left"/>
            </w:pPr>
            <w:r>
              <w:rPr>
                <w:rFonts w:ascii="仿宋_GB2312" w:hAnsi="仿宋_GB2312" w:cs="仿宋_GB2312" w:eastAsia="仿宋_GB2312"/>
                <w:sz w:val="24"/>
              </w:rPr>
              <w:t>A.</w:t>
            </w:r>
            <w:r>
              <w:rPr>
                <w:rFonts w:ascii="仿宋_GB2312" w:hAnsi="仿宋_GB2312" w:cs="仿宋_GB2312" w:eastAsia="仿宋_GB2312"/>
                <w:sz w:val="24"/>
              </w:rPr>
              <w:t>装、运、卸和假植苗木和各个环节均应保护好苗木，轻拿轻放，必须保证根系和土球完好。</w:t>
            </w:r>
          </w:p>
          <w:p>
            <w:pPr>
              <w:pStyle w:val="null3"/>
              <w:ind w:firstLine="480"/>
              <w:jc w:val="left"/>
            </w:pPr>
            <w:r>
              <w:rPr>
                <w:rFonts w:ascii="仿宋_GB2312" w:hAnsi="仿宋_GB2312" w:cs="仿宋_GB2312" w:eastAsia="仿宋_GB2312"/>
                <w:sz w:val="24"/>
              </w:rPr>
              <w:t>B.</w:t>
            </w:r>
            <w:r>
              <w:rPr>
                <w:rFonts w:ascii="仿宋_GB2312" w:hAnsi="仿宋_GB2312" w:cs="仿宋_GB2312" w:eastAsia="仿宋_GB2312"/>
                <w:sz w:val="24"/>
              </w:rPr>
              <w:t>长途运输应特别注意保持根部湿润，一般可采取沾泥浆、喷保湿剂和用毡布遮盖等方法。</w:t>
            </w:r>
          </w:p>
          <w:p>
            <w:pPr>
              <w:pStyle w:val="null3"/>
              <w:ind w:firstLine="480"/>
              <w:jc w:val="left"/>
            </w:pPr>
            <w:r>
              <w:rPr>
                <w:rFonts w:ascii="仿宋_GB2312" w:hAnsi="仿宋_GB2312" w:cs="仿宋_GB2312" w:eastAsia="仿宋_GB2312"/>
                <w:sz w:val="24"/>
              </w:rPr>
              <w:t>C.</w:t>
            </w:r>
            <w:r>
              <w:rPr>
                <w:rFonts w:ascii="仿宋_GB2312" w:hAnsi="仿宋_GB2312" w:cs="仿宋_GB2312" w:eastAsia="仿宋_GB2312"/>
                <w:sz w:val="24"/>
              </w:rPr>
              <w:t>装土球苗木，应将放稳、固定好，不使其在车厢滚动，土球应朝车头，树冠拢好。</w:t>
            </w:r>
          </w:p>
          <w:p>
            <w:pPr>
              <w:pStyle w:val="null3"/>
              <w:ind w:firstLine="480"/>
              <w:jc w:val="left"/>
            </w:pPr>
            <w:r>
              <w:rPr>
                <w:rFonts w:ascii="仿宋_GB2312" w:hAnsi="仿宋_GB2312" w:cs="仿宋_GB2312" w:eastAsia="仿宋_GB2312"/>
                <w:sz w:val="24"/>
              </w:rPr>
              <w:t>D.</w:t>
            </w:r>
            <w:r>
              <w:rPr>
                <w:rFonts w:ascii="仿宋_GB2312" w:hAnsi="仿宋_GB2312" w:cs="仿宋_GB2312" w:eastAsia="仿宋_GB2312"/>
                <w:sz w:val="24"/>
              </w:rPr>
              <w:t>运输过程应保护好苗木，要配备押运人员。</w:t>
            </w:r>
          </w:p>
          <w:p>
            <w:pPr>
              <w:pStyle w:val="null3"/>
              <w:ind w:firstLine="480"/>
              <w:jc w:val="left"/>
            </w:pPr>
            <w:r>
              <w:rPr>
                <w:rFonts w:ascii="仿宋_GB2312" w:hAnsi="仿宋_GB2312" w:cs="仿宋_GB2312" w:eastAsia="仿宋_GB2312"/>
                <w:sz w:val="24"/>
              </w:rPr>
              <w:t>E.</w:t>
            </w:r>
            <w:r>
              <w:rPr>
                <w:rFonts w:ascii="仿宋_GB2312" w:hAnsi="仿宋_GB2312" w:cs="仿宋_GB2312" w:eastAsia="仿宋_GB2312"/>
                <w:sz w:val="24"/>
              </w:rPr>
              <w:t>卸车时按顺序进行，按品种规格码放整齐，及时假植，缩短根部暴露时间。</w:t>
            </w:r>
          </w:p>
          <w:p>
            <w:pPr>
              <w:pStyle w:val="null3"/>
              <w:ind w:firstLine="480"/>
              <w:jc w:val="left"/>
            </w:pPr>
            <w:r>
              <w:rPr>
                <w:rFonts w:ascii="仿宋_GB2312" w:hAnsi="仿宋_GB2312" w:cs="仿宋_GB2312" w:eastAsia="仿宋_GB2312"/>
                <w:sz w:val="24"/>
              </w:rPr>
              <w:t>F.</w:t>
            </w:r>
            <w:r>
              <w:rPr>
                <w:rFonts w:ascii="仿宋_GB2312" w:hAnsi="仿宋_GB2312" w:cs="仿宋_GB2312" w:eastAsia="仿宋_GB2312"/>
                <w:sz w:val="24"/>
              </w:rPr>
              <w:t>装卸苗木时，必须保证土球完好。</w:t>
            </w:r>
          </w:p>
          <w:p>
            <w:pPr>
              <w:pStyle w:val="null3"/>
              <w:jc w:val="left"/>
              <w:outlineLvl w:val="2"/>
            </w:pPr>
            <w:r>
              <w:rPr>
                <w:rFonts w:ascii="仿宋_GB2312" w:hAnsi="仿宋_GB2312" w:cs="仿宋_GB2312" w:eastAsia="仿宋_GB2312"/>
                <w:sz w:val="24"/>
                <w:b/>
              </w:rPr>
              <w:t>6、栽植</w:t>
            </w:r>
          </w:p>
          <w:p>
            <w:pPr>
              <w:pStyle w:val="null3"/>
              <w:ind w:firstLine="480"/>
              <w:jc w:val="left"/>
            </w:pPr>
            <w:r>
              <w:rPr>
                <w:rFonts w:ascii="仿宋_GB2312" w:hAnsi="仿宋_GB2312" w:cs="仿宋_GB2312" w:eastAsia="仿宋_GB2312"/>
                <w:sz w:val="24"/>
              </w:rPr>
              <w:t>整地结束后，抢墒植树。建园方式为人工植苗，绿化时严格执行造林技术规程，以提高成活率。树木入穴后土球放稳，树干直立，随后拆除并取出包装物，在土球周围回填土并捣实，使根与土壤密切接触，沿穴壁踏实，在将土填至地平，土球上部的土应松开并摊平，做好蓄水池。切实做到整地不合格不回填，植树坑土方换填不到位不栽植的目标，从而实现整体绿化美化效果。</w:t>
            </w:r>
          </w:p>
          <w:p>
            <w:pPr>
              <w:pStyle w:val="null3"/>
              <w:jc w:val="left"/>
              <w:outlineLvl w:val="2"/>
            </w:pPr>
            <w:r>
              <w:rPr>
                <w:rFonts w:ascii="仿宋_GB2312" w:hAnsi="仿宋_GB2312" w:cs="仿宋_GB2312" w:eastAsia="仿宋_GB2312"/>
                <w:sz w:val="24"/>
                <w:b/>
              </w:rPr>
              <w:t>7、浇水车浇水</w:t>
            </w:r>
          </w:p>
          <w:p>
            <w:pPr>
              <w:pStyle w:val="null3"/>
              <w:ind w:firstLine="480"/>
              <w:jc w:val="left"/>
            </w:pPr>
            <w:r>
              <w:rPr>
                <w:rFonts w:ascii="仿宋_GB2312" w:hAnsi="仿宋_GB2312" w:cs="仿宋_GB2312" w:eastAsia="仿宋_GB2312"/>
                <w:sz w:val="24"/>
              </w:rPr>
              <w:t>为抢抓工期，提升苗木成活率，在缺乏浇水条件及水源的情况下，需利用洒水车从</w:t>
            </w:r>
            <w:r>
              <w:rPr>
                <w:rFonts w:ascii="仿宋_GB2312" w:hAnsi="仿宋_GB2312" w:cs="仿宋_GB2312" w:eastAsia="仿宋_GB2312"/>
                <w:sz w:val="24"/>
              </w:rPr>
              <w:t>10公里外的河流中抽水并运输至施工区域进行浇灌，以确保新栽植的苗木能够及时获得水分，保障其成活率及预期效果。</w:t>
            </w:r>
          </w:p>
          <w:p>
            <w:pPr>
              <w:pStyle w:val="null3"/>
              <w:jc w:val="left"/>
              <w:outlineLvl w:val="2"/>
            </w:pPr>
            <w:r>
              <w:rPr>
                <w:rFonts w:ascii="仿宋_GB2312" w:hAnsi="仿宋_GB2312" w:cs="仿宋_GB2312" w:eastAsia="仿宋_GB2312"/>
                <w:sz w:val="24"/>
                <w:b/>
              </w:rPr>
              <w:t>8、病虫害防治</w:t>
            </w:r>
          </w:p>
          <w:p>
            <w:pPr>
              <w:pStyle w:val="null3"/>
              <w:ind w:firstLine="480"/>
              <w:jc w:val="left"/>
            </w:pPr>
            <w:r>
              <w:rPr>
                <w:rFonts w:ascii="仿宋_GB2312" w:hAnsi="仿宋_GB2312" w:cs="仿宋_GB2312" w:eastAsia="仿宋_GB2312"/>
                <w:sz w:val="24"/>
              </w:rPr>
              <w:t>采用化学药剂、生物防治等方法加强病虫害防治工作，加大管护力度，采取有效的防护措施进行防治，确保幼苗存活。</w:t>
            </w:r>
          </w:p>
          <w:p>
            <w:pPr>
              <w:pStyle w:val="null3"/>
              <w:jc w:val="left"/>
              <w:outlineLvl w:val="2"/>
            </w:pPr>
            <w:r>
              <w:rPr>
                <w:rFonts w:ascii="仿宋_GB2312" w:hAnsi="仿宋_GB2312" w:cs="仿宋_GB2312" w:eastAsia="仿宋_GB2312"/>
                <w:sz w:val="24"/>
                <w:b/>
              </w:rPr>
              <w:t>9、后期管理</w:t>
            </w:r>
          </w:p>
          <w:p>
            <w:pPr>
              <w:pStyle w:val="null3"/>
              <w:ind w:firstLine="480"/>
              <w:jc w:val="left"/>
            </w:pPr>
            <w:r>
              <w:rPr>
                <w:rFonts w:ascii="仿宋_GB2312" w:hAnsi="仿宋_GB2312" w:cs="仿宋_GB2312" w:eastAsia="仿宋_GB2312"/>
                <w:sz w:val="24"/>
              </w:rPr>
              <w:t>实施单位要落实专人，签订管护合同，严明奖惩，落实责任，对绿化新栽幼苗进行管护，确保绿化成效。</w:t>
            </w:r>
          </w:p>
          <w:p>
            <w:pPr>
              <w:pStyle w:val="null3"/>
              <w:numPr>
                <w:ilvl w:val="0"/>
                <w:numId w:val="2"/>
              </w:numPr>
              <w:jc w:val="left"/>
            </w:pPr>
            <w:r>
              <w:rPr>
                <w:rFonts w:ascii="仿宋_GB2312" w:hAnsi="仿宋_GB2312" w:cs="仿宋_GB2312" w:eastAsia="仿宋_GB2312"/>
                <w:sz w:val="24"/>
                <w:color w:val="000000"/>
              </w:rPr>
              <w:t>养护</w:t>
            </w:r>
          </w:p>
          <w:p>
            <w:pPr>
              <w:pStyle w:val="null3"/>
              <w:numPr>
                <w:ilvl w:val="0"/>
                <w:numId w:val="1"/>
              </w:numPr>
              <w:jc w:val="left"/>
            </w:pPr>
            <w:r>
              <w:rPr>
                <w:rFonts w:ascii="仿宋_GB2312" w:hAnsi="仿宋_GB2312" w:cs="仿宋_GB2312" w:eastAsia="仿宋_GB2312"/>
                <w:sz w:val="24"/>
              </w:rPr>
              <w:t>养护管理：为了确保绿化区域的健康与美观，必须制定一套全面而细致的养护计划。该计划应涵盖定期的修剪作业，以促进植物的健康生长和形态的美观；施肥工作，以补充土壤养分，确保植物获得充足营养；灌溉措施，以适应不同季节和天气条件下的水分需求；以及病虫害防治，通过科学的方法预防和控制可能对植物造成伤害的病虫害，从而维护整个绿化的生态平衡和视觉效果。</w:t>
            </w:r>
          </w:p>
          <w:p>
            <w:pPr>
              <w:pStyle w:val="null3"/>
              <w:numPr>
                <w:ilvl w:val="0"/>
                <w:numId w:val="2"/>
              </w:numPr>
              <w:jc w:val="left"/>
            </w:pPr>
            <w:r>
              <w:rPr>
                <w:rFonts w:ascii="仿宋_GB2312" w:hAnsi="仿宋_GB2312" w:cs="仿宋_GB2312" w:eastAsia="仿宋_GB2312"/>
                <w:sz w:val="24"/>
              </w:rPr>
              <w:t>苗木规格标准及数量</w:t>
            </w:r>
          </w:p>
          <w:tbl>
            <w:tblPr>
              <w:tblBorders>
                <w:top w:val="none" w:color="000000" w:sz="4"/>
                <w:left w:val="none" w:color="000000" w:sz="4"/>
                <w:bottom w:val="none" w:color="000000" w:sz="4"/>
                <w:right w:val="none" w:color="000000" w:sz="4"/>
                <w:insideH w:val="none"/>
                <w:insideV w:val="none"/>
              </w:tblBorders>
            </w:tblPr>
            <w:tblGrid>
              <w:gridCol w:w="42"/>
              <w:gridCol w:w="218"/>
              <w:gridCol w:w="218"/>
              <w:gridCol w:w="218"/>
              <w:gridCol w:w="218"/>
              <w:gridCol w:w="218"/>
              <w:gridCol w:w="218"/>
              <w:gridCol w:w="218"/>
              <w:gridCol w:w="218"/>
              <w:gridCol w:w="218"/>
              <w:gridCol w:w="218"/>
              <w:gridCol w:w="322"/>
            </w:tblGrid>
            <w:tr>
              <w:tc>
                <w:tcPr>
                  <w:tcW w:type="dxa" w:w="2544"/>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南郑区</w:t>
                  </w:r>
                  <w:r>
                    <w:rPr>
                      <w:rFonts w:ascii="仿宋_GB2312" w:hAnsi="仿宋_GB2312" w:cs="仿宋_GB2312" w:eastAsia="仿宋_GB2312"/>
                      <w:sz w:val="24"/>
                      <w:b/>
                      <w:color w:val="000000"/>
                    </w:rPr>
                    <w:t>2025年省级林业草原改革发展资金重点区域绿化项目(区域一)</w:t>
                  </w:r>
                </w:p>
              </w:tc>
            </w:tr>
            <w:tr>
              <w:tc>
                <w:tcPr>
                  <w:tcW w:type="dxa" w:w="26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规格标准</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单位</w:t>
                  </w:r>
                </w:p>
              </w:tc>
              <w:tc>
                <w:tcPr>
                  <w:tcW w:type="dxa" w:w="54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珙桐</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15-20cm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香樟</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精品移栽苗，米径</w:t>
                  </w:r>
                  <w:r>
                    <w:rPr>
                      <w:rFonts w:ascii="仿宋_GB2312" w:hAnsi="仿宋_GB2312" w:cs="仿宋_GB2312" w:eastAsia="仿宋_GB2312"/>
                      <w:sz w:val="24"/>
                      <w:color w:val="000000"/>
                    </w:rPr>
                    <w:t>12-15cm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桂花</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10-12cm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高杆石楠</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10-12cm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大红花紫薇</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10-12cm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樱花</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10-12cm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红玉兰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8-10cm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羽毛枫</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精品控根器苗，地径</w:t>
                  </w:r>
                  <w:r>
                    <w:rPr>
                      <w:rFonts w:ascii="仿宋_GB2312" w:hAnsi="仿宋_GB2312" w:cs="仿宋_GB2312" w:eastAsia="仿宋_GB2312"/>
                      <w:sz w:val="24"/>
                      <w:color w:val="000000"/>
                    </w:rPr>
                    <w:t>6-8cm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红枫</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精品控根器苗，地径</w:t>
                  </w:r>
                  <w:r>
                    <w:rPr>
                      <w:rFonts w:ascii="仿宋_GB2312" w:hAnsi="仿宋_GB2312" w:cs="仿宋_GB2312" w:eastAsia="仿宋_GB2312"/>
                      <w:sz w:val="24"/>
                      <w:color w:val="000000"/>
                    </w:rPr>
                    <w:t>6-8cm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柱状石楠</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精品控根器苗，高度</w:t>
                  </w:r>
                  <w:r>
                    <w:rPr>
                      <w:rFonts w:ascii="仿宋_GB2312" w:hAnsi="仿宋_GB2312" w:cs="仿宋_GB2312" w:eastAsia="仿宋_GB2312"/>
                      <w:sz w:val="24"/>
                      <w:color w:val="000000"/>
                    </w:rPr>
                    <w:t>2-3米，冠幅1.2-1.5米</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丛生南天竹</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80-100cm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金叶女贞球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海桐球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120-150cm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红花继木球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大叶黄杨球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120-150cm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红叶石楠球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红叶石楠球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200-250cm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红王子锦带球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100-120cm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桂花球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树状月季</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精品控根器苗，地径</w:t>
                  </w:r>
                  <w:r>
                    <w:rPr>
                      <w:rFonts w:ascii="仿宋_GB2312" w:hAnsi="仿宋_GB2312" w:cs="仿宋_GB2312" w:eastAsia="仿宋_GB2312"/>
                      <w:sz w:val="24"/>
                      <w:color w:val="000000"/>
                    </w:rPr>
                    <w:t>4-5cm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株</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红叶石楠</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红花继木</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大叶黄杨</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高山黄杨</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毛叶杜鹃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南天竹</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金森女贞</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金叶女贞</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海桐</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麦冬草</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良种壮苗，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红花酢酱草</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良种壮苗，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混播草</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撒播草籽</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连翘</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25株/m²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迎春花</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25株/m²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大花月季</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25株/m²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鸢尾</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36株/m²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整理绿化用地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机械初平，人工精细平整，塑微地形</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m²</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土方回填</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地表熟土</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m³</w:t>
                  </w:r>
                </w:p>
              </w:tc>
              <w:tc>
                <w:tcPr>
                  <w:tcW w:type="dxa" w:w="5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4"/>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南郑区</w:t>
                  </w:r>
                  <w:r>
                    <w:rPr>
                      <w:rFonts w:ascii="仿宋_GB2312" w:hAnsi="仿宋_GB2312" w:cs="仿宋_GB2312" w:eastAsia="仿宋_GB2312"/>
                      <w:sz w:val="24"/>
                      <w:b/>
                      <w:color w:val="000000"/>
                    </w:rPr>
                    <w:t>2025年省级林业草原改革发展资金重点区域绿化项目</w:t>
                  </w:r>
                  <w:r>
                    <w:rPr>
                      <w:rFonts w:ascii="仿宋_GB2312" w:hAnsi="仿宋_GB2312" w:cs="仿宋_GB2312" w:eastAsia="仿宋_GB2312"/>
                      <w:sz w:val="21"/>
                    </w:rPr>
                    <w:t xml:space="preserve"> </w:t>
                  </w:r>
                  <w:r>
                    <w:rPr>
                      <w:rFonts w:ascii="仿宋_GB2312" w:hAnsi="仿宋_GB2312" w:cs="仿宋_GB2312" w:eastAsia="仿宋_GB2312"/>
                      <w:sz w:val="24"/>
                      <w:b/>
                      <w:color w:val="000000"/>
                    </w:rPr>
                    <w:t>(区域二)</w:t>
                  </w:r>
                </w:p>
              </w:tc>
            </w:tr>
            <w:tr>
              <w:tc>
                <w:tcPr>
                  <w:tcW w:type="dxa" w:w="47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4"/>
                      <w:color w:val="000000"/>
                    </w:rPr>
                    <w:t>目</w:t>
                  </w:r>
                  <w:r>
                    <w:rPr>
                      <w:rFonts w:ascii="仿宋_GB2312" w:hAnsi="仿宋_GB2312" w:cs="仿宋_GB2312" w:eastAsia="仿宋_GB2312"/>
                      <w:sz w:val="24"/>
                      <w:color w:val="000000"/>
                    </w:rPr>
                    <w:t>名</w:t>
                  </w:r>
                  <w:r>
                    <w:rPr>
                      <w:rFonts w:ascii="仿宋_GB2312" w:hAnsi="仿宋_GB2312" w:cs="仿宋_GB2312" w:eastAsia="仿宋_GB2312"/>
                      <w:sz w:val="24"/>
                      <w:color w:val="000000"/>
                    </w:rPr>
                    <w:t>称</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3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单位</w:t>
                  </w:r>
                </w:p>
              </w:tc>
              <w:tc>
                <w:tcPr>
                  <w:tcW w:type="dxa" w:w="3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478"/>
                  <w:gridSpan w:val="3"/>
                  <w:vMerge/>
                  <w:tcBorders>
                    <w:top w:val="none" w:color="000000" w:sz="4"/>
                    <w:left w:val="single" w:color="000000" w:sz="4"/>
                    <w:bottom w:val="single" w:color="000000" w:sz="4"/>
                    <w:right w:val="single" w:color="000000" w:sz="4"/>
                  </w:tcBorders>
                </w:tcPr>
                <w:p/>
              </w:tc>
            </w:tr>
            <w:tr>
              <w:tc>
                <w:tcPr>
                  <w:tcW w:type="dxa" w:w="178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一、汉中市南郑区陈村路口西侧停车场边绿化</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红</w:t>
                  </w:r>
                  <w:r>
                    <w:rPr>
                      <w:rFonts w:ascii="仿宋_GB2312" w:hAnsi="仿宋_GB2312" w:cs="仿宋_GB2312" w:eastAsia="仿宋_GB2312"/>
                      <w:sz w:val="24"/>
                      <w:color w:val="000000"/>
                    </w:rPr>
                    <w:t>花</w:t>
                  </w:r>
                  <w:r>
                    <w:rPr>
                      <w:rFonts w:ascii="仿宋_GB2312" w:hAnsi="仿宋_GB2312" w:cs="仿宋_GB2312" w:eastAsia="仿宋_GB2312"/>
                      <w:sz w:val="24"/>
                      <w:color w:val="000000"/>
                    </w:rPr>
                    <w:t>紫</w:t>
                  </w:r>
                  <w:r>
                    <w:rPr>
                      <w:rFonts w:ascii="仿宋_GB2312" w:hAnsi="仿宋_GB2312" w:cs="仿宋_GB2312" w:eastAsia="仿宋_GB2312"/>
                      <w:sz w:val="24"/>
                      <w:color w:val="000000"/>
                    </w:rPr>
                    <w:t>薇</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精品移栽苗，米径</w:t>
                  </w:r>
                  <w:r>
                    <w:rPr>
                      <w:rFonts w:ascii="仿宋_GB2312" w:hAnsi="仿宋_GB2312" w:cs="仿宋_GB2312" w:eastAsia="仿宋_GB2312"/>
                      <w:sz w:val="24"/>
                      <w:color w:val="000000"/>
                    </w:rPr>
                    <w:t>8-10cm</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株距</w:t>
                  </w:r>
                  <w:r>
                    <w:rPr>
                      <w:rFonts w:ascii="仿宋_GB2312" w:hAnsi="仿宋_GB2312" w:cs="仿宋_GB2312" w:eastAsia="仿宋_GB2312"/>
                      <w:sz w:val="24"/>
                      <w:color w:val="000000"/>
                    </w:rPr>
                    <w:t>3.5米</w:t>
                  </w: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叶</w:t>
                  </w:r>
                  <w:r>
                    <w:rPr>
                      <w:rFonts w:ascii="仿宋_GB2312" w:hAnsi="仿宋_GB2312" w:cs="仿宋_GB2312" w:eastAsia="仿宋_GB2312"/>
                      <w:sz w:val="24"/>
                      <w:color w:val="000000"/>
                    </w:rPr>
                    <w:t>石</w:t>
                  </w:r>
                  <w:r>
                    <w:rPr>
                      <w:rFonts w:ascii="仿宋_GB2312" w:hAnsi="仿宋_GB2312" w:cs="仿宋_GB2312" w:eastAsia="仿宋_GB2312"/>
                      <w:sz w:val="24"/>
                      <w:color w:val="000000"/>
                    </w:rPr>
                    <w:t>楠</w:t>
                  </w:r>
                  <w:r>
                    <w:rPr>
                      <w:rFonts w:ascii="仿宋_GB2312" w:hAnsi="仿宋_GB2312" w:cs="仿宋_GB2312" w:eastAsia="仿宋_GB2312"/>
                      <w:sz w:val="24"/>
                      <w:color w:val="000000"/>
                    </w:rPr>
                    <w:t>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株距</w:t>
                  </w:r>
                  <w:r>
                    <w:rPr>
                      <w:rFonts w:ascii="仿宋_GB2312" w:hAnsi="仿宋_GB2312" w:cs="仿宋_GB2312" w:eastAsia="仿宋_GB2312"/>
                      <w:sz w:val="24"/>
                      <w:color w:val="000000"/>
                    </w:rPr>
                    <w:t>3.5米</w:t>
                  </w: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叶</w:t>
                  </w:r>
                  <w:r>
                    <w:rPr>
                      <w:rFonts w:ascii="仿宋_GB2312" w:hAnsi="仿宋_GB2312" w:cs="仿宋_GB2312" w:eastAsia="仿宋_GB2312"/>
                      <w:sz w:val="24"/>
                      <w:color w:val="000000"/>
                    </w:rPr>
                    <w:t>石</w:t>
                  </w:r>
                  <w:r>
                    <w:rPr>
                      <w:rFonts w:ascii="仿宋_GB2312" w:hAnsi="仿宋_GB2312" w:cs="仿宋_GB2312" w:eastAsia="仿宋_GB2312"/>
                      <w:sz w:val="24"/>
                      <w:color w:val="000000"/>
                    </w:rPr>
                    <w:t>楠</w:t>
                  </w:r>
                  <w:r>
                    <w:rPr>
                      <w:rFonts w:ascii="仿宋_GB2312" w:hAnsi="仿宋_GB2312" w:cs="仿宋_GB2312" w:eastAsia="仿宋_GB2312"/>
                      <w:sz w:val="24"/>
                      <w:color w:val="000000"/>
                    </w:rPr>
                    <w:t>苗</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鸢尾</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良种壮苗，</w:t>
                  </w:r>
                  <w:r>
                    <w:rPr>
                      <w:rFonts w:ascii="仿宋_GB2312" w:hAnsi="仿宋_GB2312" w:cs="仿宋_GB2312" w:eastAsia="仿宋_GB2312"/>
                      <w:sz w:val="24"/>
                      <w:color w:val="000000"/>
                    </w:rPr>
                    <w:t>36株/m²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w:t>
                  </w:r>
                  <w:r>
                    <w:rPr>
                      <w:rFonts w:ascii="仿宋_GB2312" w:hAnsi="仿宋_GB2312" w:cs="仿宋_GB2312" w:eastAsia="仿宋_GB2312"/>
                      <w:sz w:val="24"/>
                      <w:color w:val="000000"/>
                    </w:rPr>
                    <w:t>理</w:t>
                  </w:r>
                  <w:r>
                    <w:rPr>
                      <w:rFonts w:ascii="仿宋_GB2312" w:hAnsi="仿宋_GB2312" w:cs="仿宋_GB2312" w:eastAsia="仿宋_GB2312"/>
                      <w:sz w:val="24"/>
                      <w:color w:val="000000"/>
                    </w:rPr>
                    <w:t>绿</w:t>
                  </w:r>
                  <w:r>
                    <w:rPr>
                      <w:rFonts w:ascii="仿宋_GB2312" w:hAnsi="仿宋_GB2312" w:cs="仿宋_GB2312" w:eastAsia="仿宋_GB2312"/>
                      <w:sz w:val="24"/>
                      <w:color w:val="000000"/>
                    </w:rPr>
                    <w:t>化</w:t>
                  </w:r>
                  <w:r>
                    <w:rPr>
                      <w:rFonts w:ascii="仿宋_GB2312" w:hAnsi="仿宋_GB2312" w:cs="仿宋_GB2312" w:eastAsia="仿宋_GB2312"/>
                      <w:sz w:val="24"/>
                      <w:color w:val="000000"/>
                    </w:rPr>
                    <w:t>用地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机械初平</w:t>
                  </w:r>
                  <w:r>
                    <w:rPr>
                      <w:rFonts w:ascii="仿宋_GB2312" w:hAnsi="仿宋_GB2312" w:cs="仿宋_GB2312" w:eastAsia="仿宋_GB2312"/>
                      <w:sz w:val="24"/>
                      <w:color w:val="000000"/>
                    </w:rPr>
                    <w:t>,人工精细平整,塑微地形</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22"/>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二、汉中市南郑区陈村水库西侧观景台路内坡跟及行道树栽植</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红</w:t>
                  </w:r>
                  <w:r>
                    <w:rPr>
                      <w:rFonts w:ascii="仿宋_GB2312" w:hAnsi="仿宋_GB2312" w:cs="仿宋_GB2312" w:eastAsia="仿宋_GB2312"/>
                      <w:sz w:val="24"/>
                      <w:color w:val="000000"/>
                    </w:rPr>
                    <w:t>花</w:t>
                  </w:r>
                  <w:r>
                    <w:rPr>
                      <w:rFonts w:ascii="仿宋_GB2312" w:hAnsi="仿宋_GB2312" w:cs="仿宋_GB2312" w:eastAsia="仿宋_GB2312"/>
                      <w:sz w:val="24"/>
                      <w:color w:val="000000"/>
                    </w:rPr>
                    <w:t>紫</w:t>
                  </w:r>
                  <w:r>
                    <w:rPr>
                      <w:rFonts w:ascii="仿宋_GB2312" w:hAnsi="仿宋_GB2312" w:cs="仿宋_GB2312" w:eastAsia="仿宋_GB2312"/>
                      <w:sz w:val="24"/>
                      <w:color w:val="000000"/>
                    </w:rPr>
                    <w:t>薇</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精品移栽苗，米径</w:t>
                  </w:r>
                  <w:r>
                    <w:rPr>
                      <w:rFonts w:ascii="仿宋_GB2312" w:hAnsi="仿宋_GB2312" w:cs="仿宋_GB2312" w:eastAsia="仿宋_GB2312"/>
                      <w:sz w:val="24"/>
                      <w:color w:val="000000"/>
                    </w:rPr>
                    <w:t>8-10cm</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株距</w:t>
                  </w:r>
                  <w:r>
                    <w:rPr>
                      <w:rFonts w:ascii="仿宋_GB2312" w:hAnsi="仿宋_GB2312" w:cs="仿宋_GB2312" w:eastAsia="仿宋_GB2312"/>
                      <w:sz w:val="24"/>
                      <w:color w:val="000000"/>
                    </w:rPr>
                    <w:t>4米</w:t>
                  </w: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叶</w:t>
                  </w:r>
                  <w:r>
                    <w:rPr>
                      <w:rFonts w:ascii="仿宋_GB2312" w:hAnsi="仿宋_GB2312" w:cs="仿宋_GB2312" w:eastAsia="仿宋_GB2312"/>
                      <w:sz w:val="24"/>
                      <w:color w:val="000000"/>
                    </w:rPr>
                    <w:t>石</w:t>
                  </w:r>
                  <w:r>
                    <w:rPr>
                      <w:rFonts w:ascii="仿宋_GB2312" w:hAnsi="仿宋_GB2312" w:cs="仿宋_GB2312" w:eastAsia="仿宋_GB2312"/>
                      <w:sz w:val="24"/>
                      <w:color w:val="000000"/>
                    </w:rPr>
                    <w:t>楠</w:t>
                  </w:r>
                  <w:r>
                    <w:rPr>
                      <w:rFonts w:ascii="仿宋_GB2312" w:hAnsi="仿宋_GB2312" w:cs="仿宋_GB2312" w:eastAsia="仿宋_GB2312"/>
                      <w:sz w:val="24"/>
                      <w:color w:val="000000"/>
                    </w:rPr>
                    <w:t>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鸢尾</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良种壮苗，</w:t>
                  </w:r>
                  <w:r>
                    <w:rPr>
                      <w:rFonts w:ascii="仿宋_GB2312" w:hAnsi="仿宋_GB2312" w:cs="仿宋_GB2312" w:eastAsia="仿宋_GB2312"/>
                      <w:sz w:val="24"/>
                      <w:color w:val="000000"/>
                    </w:rPr>
                    <w:t>36株/m²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w:t>
                  </w:r>
                  <w:r>
                    <w:rPr>
                      <w:rFonts w:ascii="仿宋_GB2312" w:hAnsi="仿宋_GB2312" w:cs="仿宋_GB2312" w:eastAsia="仿宋_GB2312"/>
                      <w:sz w:val="24"/>
                      <w:color w:val="000000"/>
                    </w:rPr>
                    <w:t>理</w:t>
                  </w:r>
                  <w:r>
                    <w:rPr>
                      <w:rFonts w:ascii="仿宋_GB2312" w:hAnsi="仿宋_GB2312" w:cs="仿宋_GB2312" w:eastAsia="仿宋_GB2312"/>
                      <w:sz w:val="24"/>
                      <w:color w:val="000000"/>
                    </w:rPr>
                    <w:t>绿</w:t>
                  </w:r>
                  <w:r>
                    <w:rPr>
                      <w:rFonts w:ascii="仿宋_GB2312" w:hAnsi="仿宋_GB2312" w:cs="仿宋_GB2312" w:eastAsia="仿宋_GB2312"/>
                      <w:sz w:val="24"/>
                      <w:color w:val="000000"/>
                    </w:rPr>
                    <w:t>化</w:t>
                  </w:r>
                  <w:r>
                    <w:rPr>
                      <w:rFonts w:ascii="仿宋_GB2312" w:hAnsi="仿宋_GB2312" w:cs="仿宋_GB2312" w:eastAsia="仿宋_GB2312"/>
                      <w:sz w:val="24"/>
                      <w:color w:val="000000"/>
                    </w:rPr>
                    <w:t>用地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机械初平</w:t>
                  </w:r>
                  <w:r>
                    <w:rPr>
                      <w:rFonts w:ascii="仿宋_GB2312" w:hAnsi="仿宋_GB2312" w:cs="仿宋_GB2312" w:eastAsia="仿宋_GB2312"/>
                      <w:sz w:val="24"/>
                      <w:color w:val="000000"/>
                    </w:rPr>
                    <w:t>,人工精细平整,塑微地形</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移栽竹子</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w:t>
                  </w:r>
                  <w:r>
                    <w:rPr>
                      <w:rFonts w:ascii="仿宋_GB2312" w:hAnsi="仿宋_GB2312" w:cs="仿宋_GB2312" w:eastAsia="仿宋_GB2312"/>
                      <w:sz w:val="24"/>
                      <w:color w:val="000000"/>
                    </w:rPr>
                    <w:t>有</w:t>
                  </w:r>
                  <w:r>
                    <w:rPr>
                      <w:rFonts w:ascii="仿宋_GB2312" w:hAnsi="仿宋_GB2312" w:cs="仿宋_GB2312" w:eastAsia="仿宋_GB2312"/>
                      <w:sz w:val="24"/>
                      <w:color w:val="000000"/>
                    </w:rPr>
                    <w:t>竹</w:t>
                  </w:r>
                  <w:r>
                    <w:rPr>
                      <w:rFonts w:ascii="仿宋_GB2312" w:hAnsi="仿宋_GB2312" w:cs="仿宋_GB2312" w:eastAsia="仿宋_GB2312"/>
                      <w:sz w:val="24"/>
                      <w:color w:val="000000"/>
                    </w:rPr>
                    <w:t>子</w:t>
                  </w:r>
                  <w:r>
                    <w:rPr>
                      <w:rFonts w:ascii="仿宋_GB2312" w:hAnsi="仿宋_GB2312" w:cs="仿宋_GB2312" w:eastAsia="仿宋_GB2312"/>
                      <w:sz w:val="24"/>
                      <w:color w:val="000000"/>
                    </w:rPr>
                    <w:t>梳</w:t>
                  </w:r>
                  <w:r>
                    <w:rPr>
                      <w:rFonts w:ascii="仿宋_GB2312" w:hAnsi="仿宋_GB2312" w:cs="仿宋_GB2312" w:eastAsia="仿宋_GB2312"/>
                      <w:sz w:val="24"/>
                      <w:color w:val="000000"/>
                    </w:rPr>
                    <w:t>理</w:t>
                  </w:r>
                  <w:r>
                    <w:rPr>
                      <w:rFonts w:ascii="仿宋_GB2312" w:hAnsi="仿宋_GB2312" w:cs="仿宋_GB2312" w:eastAsia="仿宋_GB2312"/>
                      <w:sz w:val="24"/>
                      <w:color w:val="000000"/>
                    </w:rPr>
                    <w:t>移</w:t>
                  </w:r>
                  <w:r>
                    <w:rPr>
                      <w:rFonts w:ascii="仿宋_GB2312" w:hAnsi="仿宋_GB2312" w:cs="仿宋_GB2312" w:eastAsia="仿宋_GB2312"/>
                      <w:sz w:val="24"/>
                      <w:color w:val="000000"/>
                    </w:rPr>
                    <w:t>栽</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218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三、汉中市南郑区陈村水库西侧观景台路内扇形区域绿化</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香樟</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精品移栽苗，米径</w:t>
                  </w:r>
                  <w:r>
                    <w:rPr>
                      <w:rFonts w:ascii="仿宋_GB2312" w:hAnsi="仿宋_GB2312" w:cs="仿宋_GB2312" w:eastAsia="仿宋_GB2312"/>
                      <w:sz w:val="24"/>
                      <w:color w:val="000000"/>
                    </w:rPr>
                    <w:t>12 - 15cm</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桂花</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10 - 12cm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柱</w:t>
                  </w:r>
                  <w:r>
                    <w:rPr>
                      <w:rFonts w:ascii="仿宋_GB2312" w:hAnsi="仿宋_GB2312" w:cs="仿宋_GB2312" w:eastAsia="仿宋_GB2312"/>
                      <w:sz w:val="24"/>
                      <w:color w:val="000000"/>
                    </w:rPr>
                    <w:t>状</w:t>
                  </w:r>
                  <w:r>
                    <w:rPr>
                      <w:rFonts w:ascii="仿宋_GB2312" w:hAnsi="仿宋_GB2312" w:cs="仿宋_GB2312" w:eastAsia="仿宋_GB2312"/>
                      <w:sz w:val="24"/>
                      <w:color w:val="000000"/>
                    </w:rPr>
                    <w:t>石</w:t>
                  </w:r>
                  <w:r>
                    <w:rPr>
                      <w:rFonts w:ascii="仿宋_GB2312" w:hAnsi="仿宋_GB2312" w:cs="仿宋_GB2312" w:eastAsia="仿宋_GB2312"/>
                      <w:sz w:val="24"/>
                      <w:color w:val="000000"/>
                    </w:rPr>
                    <w:t>楠</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精品控根器苗，高度</w:t>
                  </w:r>
                  <w:r>
                    <w:rPr>
                      <w:rFonts w:ascii="仿宋_GB2312" w:hAnsi="仿宋_GB2312" w:cs="仿宋_GB2312" w:eastAsia="仿宋_GB2312"/>
                      <w:sz w:val="24"/>
                      <w:color w:val="000000"/>
                    </w:rPr>
                    <w:t>2 - 3米，冠幅1.2- 1.5米</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红玉兰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8-10cm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樱花</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精品控根器苗，米径</w:t>
                  </w:r>
                  <w:r>
                    <w:rPr>
                      <w:rFonts w:ascii="仿宋_GB2312" w:hAnsi="仿宋_GB2312" w:cs="仿宋_GB2312" w:eastAsia="仿宋_GB2312"/>
                      <w:sz w:val="24"/>
                      <w:color w:val="000000"/>
                    </w:rPr>
                    <w:t>6-8cm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红枫</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精品控根器苗，地径</w:t>
                  </w:r>
                  <w:r>
                    <w:rPr>
                      <w:rFonts w:ascii="仿宋_GB2312" w:hAnsi="仿宋_GB2312" w:cs="仿宋_GB2312" w:eastAsia="仿宋_GB2312"/>
                      <w:sz w:val="24"/>
                      <w:color w:val="000000"/>
                    </w:rPr>
                    <w:t>3-4cm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叶</w:t>
                  </w:r>
                  <w:r>
                    <w:rPr>
                      <w:rFonts w:ascii="仿宋_GB2312" w:hAnsi="仿宋_GB2312" w:cs="仿宋_GB2312" w:eastAsia="仿宋_GB2312"/>
                      <w:sz w:val="24"/>
                      <w:color w:val="000000"/>
                    </w:rPr>
                    <w:t>石</w:t>
                  </w:r>
                  <w:r>
                    <w:rPr>
                      <w:rFonts w:ascii="仿宋_GB2312" w:hAnsi="仿宋_GB2312" w:cs="仿宋_GB2312" w:eastAsia="仿宋_GB2312"/>
                      <w:sz w:val="24"/>
                      <w:color w:val="000000"/>
                    </w:rPr>
                    <w:t>楠</w:t>
                  </w:r>
                  <w:r>
                    <w:rPr>
                      <w:rFonts w:ascii="仿宋_GB2312" w:hAnsi="仿宋_GB2312" w:cs="仿宋_GB2312" w:eastAsia="仿宋_GB2312"/>
                      <w:sz w:val="24"/>
                      <w:color w:val="000000"/>
                    </w:rPr>
                    <w:t>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花</w:t>
                  </w:r>
                  <w:r>
                    <w:rPr>
                      <w:rFonts w:ascii="仿宋_GB2312" w:hAnsi="仿宋_GB2312" w:cs="仿宋_GB2312" w:eastAsia="仿宋_GB2312"/>
                      <w:sz w:val="24"/>
                      <w:color w:val="000000"/>
                    </w:rPr>
                    <w:t>继</w:t>
                  </w:r>
                  <w:r>
                    <w:rPr>
                      <w:rFonts w:ascii="仿宋_GB2312" w:hAnsi="仿宋_GB2312" w:cs="仿宋_GB2312" w:eastAsia="仿宋_GB2312"/>
                      <w:sz w:val="24"/>
                      <w:color w:val="000000"/>
                    </w:rPr>
                    <w:t>木</w:t>
                  </w:r>
                  <w:r>
                    <w:rPr>
                      <w:rFonts w:ascii="仿宋_GB2312" w:hAnsi="仿宋_GB2312" w:cs="仿宋_GB2312" w:eastAsia="仿宋_GB2312"/>
                      <w:sz w:val="24"/>
                      <w:color w:val="000000"/>
                    </w:rPr>
                    <w:t>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叶</w:t>
                  </w:r>
                  <w:r>
                    <w:rPr>
                      <w:rFonts w:ascii="仿宋_GB2312" w:hAnsi="仿宋_GB2312" w:cs="仿宋_GB2312" w:eastAsia="仿宋_GB2312"/>
                      <w:sz w:val="24"/>
                      <w:color w:val="000000"/>
                    </w:rPr>
                    <w:t>黄</w:t>
                  </w:r>
                  <w:r>
                    <w:rPr>
                      <w:rFonts w:ascii="仿宋_GB2312" w:hAnsi="仿宋_GB2312" w:cs="仿宋_GB2312" w:eastAsia="仿宋_GB2312"/>
                      <w:sz w:val="24"/>
                      <w:color w:val="000000"/>
                    </w:rPr>
                    <w:t>杨</w:t>
                  </w:r>
                  <w:r>
                    <w:rPr>
                      <w:rFonts w:ascii="仿宋_GB2312" w:hAnsi="仿宋_GB2312" w:cs="仿宋_GB2312" w:eastAsia="仿宋_GB2312"/>
                      <w:sz w:val="24"/>
                      <w:color w:val="000000"/>
                    </w:rPr>
                    <w:t>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w:t>
                  </w:r>
                  <w:r>
                    <w:rPr>
                      <w:rFonts w:ascii="仿宋_GB2312" w:hAnsi="仿宋_GB2312" w:cs="仿宋_GB2312" w:eastAsia="仿宋_GB2312"/>
                      <w:sz w:val="24"/>
                      <w:color w:val="000000"/>
                    </w:rPr>
                    <w:t>120-150cm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海桐球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w:t>
                  </w:r>
                  <w:r>
                    <w:rPr>
                      <w:rFonts w:ascii="仿宋_GB2312" w:hAnsi="仿宋_GB2312" w:cs="仿宋_GB2312" w:eastAsia="仿宋_GB2312"/>
                      <w:sz w:val="24"/>
                      <w:color w:val="000000"/>
                    </w:rPr>
                    <w:t>120-150cm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桂花球</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w:t>
                  </w:r>
                  <w:r>
                    <w:rPr>
                      <w:rFonts w:ascii="仿宋_GB2312" w:hAnsi="仿宋_GB2312" w:cs="仿宋_GB2312" w:eastAsia="仿宋_GB2312"/>
                      <w:sz w:val="24"/>
                      <w:color w:val="000000"/>
                    </w:rPr>
                    <w:t>150-180cm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w:t>
                  </w:r>
                  <w:r>
                    <w:rPr>
                      <w:rFonts w:ascii="仿宋_GB2312" w:hAnsi="仿宋_GB2312" w:cs="仿宋_GB2312" w:eastAsia="仿宋_GB2312"/>
                      <w:sz w:val="24"/>
                      <w:color w:val="000000"/>
                    </w:rPr>
                    <w:t>状</w:t>
                  </w:r>
                  <w:r>
                    <w:rPr>
                      <w:rFonts w:ascii="仿宋_GB2312" w:hAnsi="仿宋_GB2312" w:cs="仿宋_GB2312" w:eastAsia="仿宋_GB2312"/>
                      <w:sz w:val="24"/>
                      <w:color w:val="000000"/>
                    </w:rPr>
                    <w:t>月</w:t>
                  </w:r>
                  <w:r>
                    <w:rPr>
                      <w:rFonts w:ascii="仿宋_GB2312" w:hAnsi="仿宋_GB2312" w:cs="仿宋_GB2312" w:eastAsia="仿宋_GB2312"/>
                      <w:sz w:val="24"/>
                      <w:color w:val="000000"/>
                    </w:rPr>
                    <w:t>季</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精品控根器苗，地径</w:t>
                  </w:r>
                  <w:r>
                    <w:rPr>
                      <w:rFonts w:ascii="仿宋_GB2312" w:hAnsi="仿宋_GB2312" w:cs="仿宋_GB2312" w:eastAsia="仿宋_GB2312"/>
                      <w:sz w:val="24"/>
                      <w:color w:val="000000"/>
                    </w:rPr>
                    <w:t>4-5cm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丛</w:t>
                  </w:r>
                  <w:r>
                    <w:rPr>
                      <w:rFonts w:ascii="仿宋_GB2312" w:hAnsi="仿宋_GB2312" w:cs="仿宋_GB2312" w:eastAsia="仿宋_GB2312"/>
                      <w:sz w:val="24"/>
                      <w:color w:val="000000"/>
                    </w:rPr>
                    <w:t>生</w:t>
                  </w:r>
                  <w:r>
                    <w:rPr>
                      <w:rFonts w:ascii="仿宋_GB2312" w:hAnsi="仿宋_GB2312" w:cs="仿宋_GB2312" w:eastAsia="仿宋_GB2312"/>
                      <w:sz w:val="24"/>
                      <w:color w:val="000000"/>
                    </w:rPr>
                    <w:t>南</w:t>
                  </w:r>
                  <w:r>
                    <w:rPr>
                      <w:rFonts w:ascii="仿宋_GB2312" w:hAnsi="仿宋_GB2312" w:cs="仿宋_GB2312" w:eastAsia="仿宋_GB2312"/>
                      <w:sz w:val="24"/>
                      <w:color w:val="000000"/>
                    </w:rPr>
                    <w:t>天</w:t>
                  </w:r>
                  <w:r>
                    <w:rPr>
                      <w:rFonts w:ascii="仿宋_GB2312" w:hAnsi="仿宋_GB2312" w:cs="仿宋_GB2312" w:eastAsia="仿宋_GB2312"/>
                      <w:sz w:val="24"/>
                      <w:color w:val="000000"/>
                    </w:rPr>
                    <w:t>竹</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精品控根器苗，冠幅</w:t>
                  </w:r>
                  <w:r>
                    <w:rPr>
                      <w:rFonts w:ascii="仿宋_GB2312" w:hAnsi="仿宋_GB2312" w:cs="仿宋_GB2312" w:eastAsia="仿宋_GB2312"/>
                      <w:sz w:val="24"/>
                      <w:color w:val="000000"/>
                    </w:rPr>
                    <w:t>80-100cm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红叶石楠</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w:t>
                  </w:r>
                  <w:r>
                    <w:rPr>
                      <w:rFonts w:ascii="仿宋_GB2312" w:hAnsi="仿宋_GB2312" w:cs="仿宋_GB2312" w:eastAsia="仿宋_GB2312"/>
                      <w:sz w:val="24"/>
                      <w:color w:val="000000"/>
                    </w:rPr>
                    <w:t>花</w:t>
                  </w:r>
                  <w:r>
                    <w:rPr>
                      <w:rFonts w:ascii="仿宋_GB2312" w:hAnsi="仿宋_GB2312" w:cs="仿宋_GB2312" w:eastAsia="仿宋_GB2312"/>
                      <w:sz w:val="24"/>
                      <w:color w:val="000000"/>
                    </w:rPr>
                    <w:t>继</w:t>
                  </w:r>
                  <w:r>
                    <w:rPr>
                      <w:rFonts w:ascii="仿宋_GB2312" w:hAnsi="仿宋_GB2312" w:cs="仿宋_GB2312" w:eastAsia="仿宋_GB2312"/>
                      <w:sz w:val="24"/>
                      <w:color w:val="000000"/>
                    </w:rPr>
                    <w:t>木</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叶</w:t>
                  </w:r>
                  <w:r>
                    <w:rPr>
                      <w:rFonts w:ascii="仿宋_GB2312" w:hAnsi="仿宋_GB2312" w:cs="仿宋_GB2312" w:eastAsia="仿宋_GB2312"/>
                      <w:sz w:val="24"/>
                      <w:color w:val="000000"/>
                    </w:rPr>
                    <w:t>黄</w:t>
                  </w:r>
                  <w:r>
                    <w:rPr>
                      <w:rFonts w:ascii="仿宋_GB2312" w:hAnsi="仿宋_GB2312" w:cs="仿宋_GB2312" w:eastAsia="仿宋_GB2312"/>
                      <w:sz w:val="24"/>
                      <w:color w:val="000000"/>
                    </w:rPr>
                    <w:t>杨</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w:t>
                  </w:r>
                  <w:r>
                    <w:rPr>
                      <w:rFonts w:ascii="仿宋_GB2312" w:hAnsi="仿宋_GB2312" w:cs="仿宋_GB2312" w:eastAsia="仿宋_GB2312"/>
                      <w:sz w:val="24"/>
                      <w:color w:val="000000"/>
                    </w:rPr>
                    <w:t>叶</w:t>
                  </w:r>
                  <w:r>
                    <w:rPr>
                      <w:rFonts w:ascii="仿宋_GB2312" w:hAnsi="仿宋_GB2312" w:cs="仿宋_GB2312" w:eastAsia="仿宋_GB2312"/>
                      <w:sz w:val="24"/>
                      <w:color w:val="000000"/>
                    </w:rPr>
                    <w:t>女</w:t>
                  </w:r>
                  <w:r>
                    <w:rPr>
                      <w:rFonts w:ascii="仿宋_GB2312" w:hAnsi="仿宋_GB2312" w:cs="仿宋_GB2312" w:eastAsia="仿宋_GB2312"/>
                      <w:sz w:val="24"/>
                      <w:color w:val="000000"/>
                    </w:rPr>
                    <w:t>贞</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精品营养钵苗，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麦冬草</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良种壮苗，</w:t>
                  </w:r>
                  <w:r>
                    <w:rPr>
                      <w:rFonts w:ascii="仿宋_GB2312" w:hAnsi="仿宋_GB2312" w:cs="仿宋_GB2312" w:eastAsia="仿宋_GB2312"/>
                      <w:sz w:val="24"/>
                      <w:color w:val="000000"/>
                    </w:rPr>
                    <w:t>49株/m²</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w:t>
                  </w:r>
                  <w:r>
                    <w:rPr>
                      <w:rFonts w:ascii="仿宋_GB2312" w:hAnsi="仿宋_GB2312" w:cs="仿宋_GB2312" w:eastAsia="仿宋_GB2312"/>
                      <w:sz w:val="24"/>
                      <w:color w:val="000000"/>
                    </w:rPr>
                    <w:t>理</w:t>
                  </w:r>
                  <w:r>
                    <w:rPr>
                      <w:rFonts w:ascii="仿宋_GB2312" w:hAnsi="仿宋_GB2312" w:cs="仿宋_GB2312" w:eastAsia="仿宋_GB2312"/>
                      <w:sz w:val="24"/>
                      <w:color w:val="000000"/>
                    </w:rPr>
                    <w:t>绿</w:t>
                  </w:r>
                  <w:r>
                    <w:rPr>
                      <w:rFonts w:ascii="仿宋_GB2312" w:hAnsi="仿宋_GB2312" w:cs="仿宋_GB2312" w:eastAsia="仿宋_GB2312"/>
                      <w:sz w:val="24"/>
                      <w:color w:val="000000"/>
                    </w:rPr>
                    <w:t>化</w:t>
                  </w:r>
                  <w:r>
                    <w:rPr>
                      <w:rFonts w:ascii="仿宋_GB2312" w:hAnsi="仿宋_GB2312" w:cs="仿宋_GB2312" w:eastAsia="仿宋_GB2312"/>
                      <w:sz w:val="24"/>
                      <w:color w:val="000000"/>
                    </w:rPr>
                    <w:t>用地</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机械初平，人工精细平整，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塑微地形</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218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四、汉中市南郑区陈村水库西侧周高路路边观景台至田园居农家乐路段行道树补植与修剪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红</w:t>
                  </w:r>
                  <w:r>
                    <w:rPr>
                      <w:rFonts w:ascii="仿宋_GB2312" w:hAnsi="仿宋_GB2312" w:cs="仿宋_GB2312" w:eastAsia="仿宋_GB2312"/>
                      <w:sz w:val="24"/>
                      <w:color w:val="000000"/>
                    </w:rPr>
                    <w:t>花</w:t>
                  </w:r>
                  <w:r>
                    <w:rPr>
                      <w:rFonts w:ascii="仿宋_GB2312" w:hAnsi="仿宋_GB2312" w:cs="仿宋_GB2312" w:eastAsia="仿宋_GB2312"/>
                      <w:sz w:val="24"/>
                      <w:color w:val="000000"/>
                    </w:rPr>
                    <w:t>紫</w:t>
                  </w:r>
                  <w:r>
                    <w:rPr>
                      <w:rFonts w:ascii="仿宋_GB2312" w:hAnsi="仿宋_GB2312" w:cs="仿宋_GB2312" w:eastAsia="仿宋_GB2312"/>
                      <w:sz w:val="24"/>
                      <w:color w:val="000000"/>
                    </w:rPr>
                    <w:t>薇</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精品移栽苗，米径</w:t>
                  </w:r>
                  <w:r>
                    <w:rPr>
                      <w:rFonts w:ascii="仿宋_GB2312" w:hAnsi="仿宋_GB2312" w:cs="仿宋_GB2312" w:eastAsia="仿宋_GB2312"/>
                      <w:sz w:val="24"/>
                      <w:color w:val="000000"/>
                    </w:rPr>
                    <w:t>8-10cm</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4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
                </w:tcPr>
                <w:p>
                  <w:pPr>
                    <w:pStyle w:val="null3"/>
                  </w:pPr>
                  <w:r>
                    <w:rPr>
                      <w:rFonts w:ascii="仿宋_GB2312" w:hAnsi="仿宋_GB2312" w:cs="仿宋_GB2312" w:eastAsia="仿宋_GB2312"/>
                      <w:sz w:val="19"/>
                    </w:rPr>
                    <w:t xml:space="preserve"> </w:t>
                  </w:r>
                </w:p>
              </w:tc>
              <w:tc>
                <w:tcPr>
                  <w:tcW w:type="dxa" w:w="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灌</w:t>
                  </w:r>
                  <w:r>
                    <w:rPr>
                      <w:rFonts w:ascii="仿宋_GB2312" w:hAnsi="仿宋_GB2312" w:cs="仿宋_GB2312" w:eastAsia="仿宋_GB2312"/>
                      <w:sz w:val="24"/>
                      <w:color w:val="000000"/>
                    </w:rPr>
                    <w:t>木</w:t>
                  </w:r>
                  <w:r>
                    <w:rPr>
                      <w:rFonts w:ascii="仿宋_GB2312" w:hAnsi="仿宋_GB2312" w:cs="仿宋_GB2312" w:eastAsia="仿宋_GB2312"/>
                      <w:sz w:val="24"/>
                      <w:color w:val="000000"/>
                    </w:rPr>
                    <w:t>球</w:t>
                  </w:r>
                  <w:r>
                    <w:rPr>
                      <w:rFonts w:ascii="仿宋_GB2312" w:hAnsi="仿宋_GB2312" w:cs="仿宋_GB2312" w:eastAsia="仿宋_GB2312"/>
                      <w:sz w:val="24"/>
                      <w:color w:val="000000"/>
                    </w:rPr>
                    <w:t>修</w:t>
                  </w:r>
                  <w:r>
                    <w:rPr>
                      <w:rFonts w:ascii="仿宋_GB2312" w:hAnsi="仿宋_GB2312" w:cs="仿宋_GB2312" w:eastAsia="仿宋_GB2312"/>
                      <w:sz w:val="24"/>
                      <w:color w:val="000000"/>
                    </w:rPr>
                    <w:t>剪</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原有红叶石楠球修剪，冠幅</w:t>
                  </w:r>
                  <w:r>
                    <w:rPr>
                      <w:rFonts w:ascii="仿宋_GB2312" w:hAnsi="仿宋_GB2312" w:cs="仿宋_GB2312" w:eastAsia="仿宋_GB2312"/>
                      <w:sz w:val="24"/>
                      <w:color w:val="000000"/>
                    </w:rPr>
                    <w:t>120-150cm</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4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详见详细评审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详见详细评审</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项目开工后，支付不超过合同总金额的30.00%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工程完成至工程量的80%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付款条件说明:工程完工自查验收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经省市级验收合格，工程审计后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违约责任：一方不按合同履行（逾期、质量不达标、违约转包等），需支付违约金并赔偿损失，严重时对方可解除合同。 争议解决：先协商；协商不成，按合同约定提交仲裁或向法院起诉。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5个工作日内向代理机构提供纸质版响应文件，响应文件为正本1份，副本1份、电子版1份(U盘注明单位名称)编辑目录和页码(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供应商认为有必要补充说明的事项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法定代表人授权书原件及被授权人身份证复印件（法定代表人直接参加投标只须提供法定代表人身份证明原件）</w:t>
            </w:r>
          </w:p>
        </w:tc>
        <w:tc>
          <w:tcPr>
            <w:tcW w:type="dxa" w:w="1661"/>
          </w:tcPr>
          <w:p>
            <w:pPr>
              <w:pStyle w:val="null3"/>
            </w:pPr>
            <w:r>
              <w:rPr>
                <w:rFonts w:ascii="仿宋_GB2312" w:hAnsi="仿宋_GB2312" w:cs="仿宋_GB2312" w:eastAsia="仿宋_GB2312"/>
              </w:rPr>
              <w:t>供应商认为有必要补充说明的事项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 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供应商认为有必要补充说明的事项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供应商认为有必要补充说明的事项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不存在法律、法规和磋商文件规定的其他无效情形</w:t>
            </w:r>
          </w:p>
        </w:tc>
        <w:tc>
          <w:tcPr>
            <w:tcW w:type="dxa" w:w="1661"/>
          </w:tcPr>
          <w:p>
            <w:pPr>
              <w:pStyle w:val="null3"/>
            </w:pPr>
            <w:r>
              <w:rPr>
                <w:rFonts w:ascii="仿宋_GB2312" w:hAnsi="仿宋_GB2312" w:cs="仿宋_GB2312" w:eastAsia="仿宋_GB2312"/>
              </w:rPr>
              <w:t>响应文件封面 中小企业声明函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一、评审内容：含①立地条件分析②人工造林技术措施③特殊情况应对；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1.0分：完全符合评审标准，内容完整、措施具体、贴合项目；（2）0.5分：基本符合评审标准，内容基本完整、措施可行、针对性一般；（3）0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完整性：方案必须全面，对评审内容中的各项要求有详细描述；2. 可实施性：切合本项目实际情况，提出步骤清晰、合理的方案；3. 针对性：方案能够紧扣项目特点，内容科学合理。 三、赋分标准：①～②项内容各4.5分，每项按以下标准评分，累计满分9分：（1）1.5分：完全符合评审标准，内容完整、措施具体、贴合项目、可落地；（2）1.0分：基本符合评审标准，内容基本完整、措施可行、针对性一般；（3）0.5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2、履约能力</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一、评审内容：含①种苗质量保证措施；②施工过程质量保证措施；③成活率保障。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1.0分：完全符合评审标准，内容完整、措施具体、贴合项目、可落地；（2）0.5分：基本符合评审标准，内容基本完整、措施可行、针对性一般；（3）0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3、服务质量保证措施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 评审内容 项目负责人、项目组成员搭配合理。 二. 评审标准项目负责人：需提供相关专业中级及以上职称证书 ；项目组成员：需提供相关专业初级及以上职称证书，人员分工覆盖技术指导、安全管理、现场作业。 三. 赋分标准： ①项目负责人符合要求得2分，否则0分；②项目组每1名符合要求人员得0.5分，最高2分（未提供证明材料不得分）。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 评审内容 2023年1月1日至今完成的类似项目业绩。 二. 评审标准 需提供①成交通知书、②项目合同、③业主盖章的验收报告（缺1项视为无效业绩）。 三. 赋分标准 每提供1份有效业绩得2.5分，满分5分（不重复累计）。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后期管护方案</w:t>
            </w:r>
          </w:p>
        </w:tc>
        <w:tc>
          <w:tcPr>
            <w:tcW w:type="dxa" w:w="2492"/>
          </w:tcPr>
          <w:p>
            <w:pPr>
              <w:pStyle w:val="null3"/>
            </w:pPr>
            <w:r>
              <w:rPr>
                <w:rFonts w:ascii="仿宋_GB2312" w:hAnsi="仿宋_GB2312" w:cs="仿宋_GB2312" w:eastAsia="仿宋_GB2312"/>
              </w:rPr>
              <w:t>一、评审内容：含①管护内容；②管护保障。 二、评审标准：1. 完整性：覆盖售后全流程核心内容；2. 可实施性：有明确响应时间、服务频次、管护人员数量，管护需求；3. 针对性：贴合项目后期养护需求。 三、赋分标准：①～②项内容各4.5分，每项按以下标准评分，累计满分9分：（1）1.5分：完全符合评审标准，内容完整、措施具体、贴合项目、可落地；（2）1.0分：基本符合评审标准，内容基本完整、措施可行、针对性一般；（3）0.5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6、后期管护方案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一、评审内容：含①项目进度计划；②进度保障措施。 二、评审标准：1. 完整性：方案必须全面，对评审内容中的各项要求有详细描述；2. 可实施性：切合本项目实际情况，提出步骤清晰、合理的方案；3.针对性：方案能够紧扣项目绿化施工特点，内容科学合理。 三、赋分标准：①～②项内容各4.5分，每项按以下标准量化评分，累计满分9分：（1）1.5分：完全符合评审标准，内容完整、措施具体、贴合项目、可落地；（2）1.0分：基本符合评审标准，内容基本完整、措施可行、针对性一般；（3）0.5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7、进度保障措施</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一、评审内容：含①安全生产管理体系及保证措施；②项目风险预测与防范。 二、评审标准：1. 完整性：方案必须全面，对评审内容中的各项要求有详细描述；2. 可实施性：切合本项目实际情况，提出步骤清晰、合理的方案；3. 针对性：方案能够紧扣项目安全特点，内容科学合理。 三、赋分标准：①～②项内容各4.5分，每项按以下标准评分，累计满分9分：（1）1.5分：完全符合评审标准，内容完整、措施具体、贴合项目、可落地；（2）1.0分：基本符合评审标准，内容基本完整、措施可行、针对性一般；（3）0.5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8、安全措施</w:t>
            </w:r>
          </w:p>
        </w:tc>
      </w:tr>
      <w:tr>
        <w:tc>
          <w:tcPr>
            <w:tcW w:type="dxa" w:w="831"/>
            <w:vMerge/>
          </w:tcPr>
          <w:p/>
        </w:tc>
        <w:tc>
          <w:tcPr>
            <w:tcW w:type="dxa" w:w="1661"/>
          </w:tcPr>
          <w:p>
            <w:pPr>
              <w:pStyle w:val="null3"/>
            </w:pPr>
            <w:r>
              <w:rPr>
                <w:rFonts w:ascii="仿宋_GB2312" w:hAnsi="仿宋_GB2312" w:cs="仿宋_GB2312" w:eastAsia="仿宋_GB2312"/>
              </w:rPr>
              <w:t>施工应急措施</w:t>
            </w:r>
          </w:p>
        </w:tc>
        <w:tc>
          <w:tcPr>
            <w:tcW w:type="dxa" w:w="2492"/>
          </w:tcPr>
          <w:p>
            <w:pPr>
              <w:pStyle w:val="null3"/>
            </w:pPr>
            <w:r>
              <w:rPr>
                <w:rFonts w:ascii="仿宋_GB2312" w:hAnsi="仿宋_GB2312" w:cs="仿宋_GB2312" w:eastAsia="仿宋_GB2312"/>
              </w:rPr>
              <w:t>一、评审内容：含①应急保障体系②各类突发情况应对措施③备用资源配置及应急响应流程。 二、评审标准：1.完整性：方案必须全面，对评审内容中的各项要求有详细描述；2.可实施性：应急体系健全、措施科学可行、资源配置充足、响应流程清晰，能全面覆盖项目实施全周期各类风险；3. 针对性：方案能够紧扣项目施工实际情况，内容科学合理。 三、赋分标准：①～③项内容各3分，每项按以下标准评分，累计满分9分：（1）1.0分：完全符合评审标准，内容完整、措施具体、贴合项目、可落地；（2）0.5分：基本符合评审标准，内容基本完整、措施可行、针对性一般；（3）0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9、施工应急措施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 完整性：方案必须全面，对评审内容中的各项要求有详细描述；2. 可实施性：制定项目环境保护实施方案，明确环保目标、管控范围及工作流程；3. 针对性：方案能够紧扣项目施工环保特点，内容科学合理。 三、赋分标准：①～②项内容各4.5分，每项按以下标准评分，累计满分9分：（1）1.5分：完全符合评审标准，内容完整、措施具体、贴合项目、可落地；（2）1.0分：基本符合评审标准，内容基本完整、措施可行、针对性一般；（3）0.5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10.环境保护管理体系与措施</w:t>
            </w:r>
          </w:p>
        </w:tc>
      </w:tr>
      <w:tr>
        <w:tc>
          <w:tcPr>
            <w:tcW w:type="dxa" w:w="831"/>
            <w:vMerge/>
          </w:tcPr>
          <w:p/>
        </w:tc>
        <w:tc>
          <w:tcPr>
            <w:tcW w:type="dxa" w:w="1661"/>
          </w:tcPr>
          <w:p>
            <w:pPr>
              <w:pStyle w:val="null3"/>
            </w:pPr>
            <w:r>
              <w:rPr>
                <w:rFonts w:ascii="仿宋_GB2312" w:hAnsi="仿宋_GB2312" w:cs="仿宋_GB2312" w:eastAsia="仿宋_GB2312"/>
              </w:rPr>
              <w:t>机具设备配置</w:t>
            </w:r>
          </w:p>
        </w:tc>
        <w:tc>
          <w:tcPr>
            <w:tcW w:type="dxa" w:w="2492"/>
          </w:tcPr>
          <w:p>
            <w:pPr>
              <w:pStyle w:val="null3"/>
            </w:pPr>
            <w:r>
              <w:rPr>
                <w:rFonts w:ascii="仿宋_GB2312" w:hAnsi="仿宋_GB2312" w:cs="仿宋_GB2312" w:eastAsia="仿宋_GB2312"/>
              </w:rPr>
              <w:t>一、评审内容：供应商针对本项目提出适用配置方案，包括但不限于：①工器具配置方案；②工器具维护方案；③工器具供应保障措施。 二、评审标准：1. 完整性：方案全面，对评审内容中的各项要求描述详细；2. 可实施性：切合本项目实际情况，实施步骤清晰、合理；3. 针对性：方案能够紧扣项目道路、水库周边绿化施工特点，内容科学合理。 三、赋分标准：①～③项内容各3分，每项按以下标准评分，累计满分9分：（1）1.0分：完全符合评审标准，内容完整、措施具体、贴合项目、可落地；（2）0.5分：基本符合评审标准，内容基本完整、措施可行、针对性一般；（3）0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11、机具设备配置</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详见附件：1、实施方案</w:t>
      </w:r>
    </w:p>
    <w:p>
      <w:pPr>
        <w:pStyle w:val="null3"/>
        <w:ind w:firstLine="960"/>
      </w:pPr>
      <w:r>
        <w:rPr>
          <w:rFonts w:ascii="仿宋_GB2312" w:hAnsi="仿宋_GB2312" w:cs="仿宋_GB2312" w:eastAsia="仿宋_GB2312"/>
        </w:rPr>
        <w:t>详见附件：2、履约能力</w:t>
      </w:r>
    </w:p>
    <w:p>
      <w:pPr>
        <w:pStyle w:val="null3"/>
        <w:ind w:firstLine="960"/>
      </w:pPr>
      <w:r>
        <w:rPr>
          <w:rFonts w:ascii="仿宋_GB2312" w:hAnsi="仿宋_GB2312" w:cs="仿宋_GB2312" w:eastAsia="仿宋_GB2312"/>
        </w:rPr>
        <w:t>详见附件：3、服务质量保证措施</w:t>
      </w:r>
    </w:p>
    <w:p>
      <w:pPr>
        <w:pStyle w:val="null3"/>
        <w:ind w:firstLine="960"/>
      </w:pPr>
      <w:r>
        <w:rPr>
          <w:rFonts w:ascii="仿宋_GB2312" w:hAnsi="仿宋_GB2312" w:cs="仿宋_GB2312" w:eastAsia="仿宋_GB2312"/>
        </w:rPr>
        <w:t>详见附件：4、人员配备</w:t>
      </w:r>
    </w:p>
    <w:p>
      <w:pPr>
        <w:pStyle w:val="null3"/>
        <w:ind w:firstLine="960"/>
      </w:pPr>
      <w:r>
        <w:rPr>
          <w:rFonts w:ascii="仿宋_GB2312" w:hAnsi="仿宋_GB2312" w:cs="仿宋_GB2312" w:eastAsia="仿宋_GB2312"/>
        </w:rPr>
        <w:t>详见附件：5、供应商类似项目业绩一览表</w:t>
      </w:r>
    </w:p>
    <w:p>
      <w:pPr>
        <w:pStyle w:val="null3"/>
        <w:ind w:firstLine="960"/>
      </w:pPr>
      <w:r>
        <w:rPr>
          <w:rFonts w:ascii="仿宋_GB2312" w:hAnsi="仿宋_GB2312" w:cs="仿宋_GB2312" w:eastAsia="仿宋_GB2312"/>
        </w:rPr>
        <w:t>详见附件：6、后期管护方案</w:t>
      </w:r>
    </w:p>
    <w:p>
      <w:pPr>
        <w:pStyle w:val="null3"/>
        <w:ind w:firstLine="960"/>
      </w:pPr>
      <w:r>
        <w:rPr>
          <w:rFonts w:ascii="仿宋_GB2312" w:hAnsi="仿宋_GB2312" w:cs="仿宋_GB2312" w:eastAsia="仿宋_GB2312"/>
        </w:rPr>
        <w:t>详见附件：7、进度保障措施</w:t>
      </w:r>
    </w:p>
    <w:p>
      <w:pPr>
        <w:pStyle w:val="null3"/>
        <w:ind w:firstLine="960"/>
      </w:pPr>
      <w:r>
        <w:rPr>
          <w:rFonts w:ascii="仿宋_GB2312" w:hAnsi="仿宋_GB2312" w:cs="仿宋_GB2312" w:eastAsia="仿宋_GB2312"/>
        </w:rPr>
        <w:t>详见附件：8、安全措施</w:t>
      </w:r>
    </w:p>
    <w:p>
      <w:pPr>
        <w:pStyle w:val="null3"/>
        <w:ind w:firstLine="960"/>
      </w:pPr>
      <w:r>
        <w:rPr>
          <w:rFonts w:ascii="仿宋_GB2312" w:hAnsi="仿宋_GB2312" w:cs="仿宋_GB2312" w:eastAsia="仿宋_GB2312"/>
        </w:rPr>
        <w:t>详见附件：9、施工应急措施</w:t>
      </w:r>
    </w:p>
    <w:p>
      <w:pPr>
        <w:pStyle w:val="null3"/>
        <w:ind w:firstLine="960"/>
      </w:pPr>
      <w:r>
        <w:rPr>
          <w:rFonts w:ascii="仿宋_GB2312" w:hAnsi="仿宋_GB2312" w:cs="仿宋_GB2312" w:eastAsia="仿宋_GB2312"/>
        </w:rPr>
        <w:t>详见附件：10.环境保护管理体系与措施</w:t>
      </w:r>
    </w:p>
    <w:p>
      <w:pPr>
        <w:pStyle w:val="null3"/>
        <w:ind w:firstLine="960"/>
      </w:pPr>
      <w:r>
        <w:rPr>
          <w:rFonts w:ascii="仿宋_GB2312" w:hAnsi="仿宋_GB2312" w:cs="仿宋_GB2312" w:eastAsia="仿宋_GB2312"/>
        </w:rPr>
        <w:t>详见附件：11、机具设备配置</w:t>
      </w:r>
    </w:p>
    <w:p>
      <w:pPr>
        <w:pStyle w:val="null3"/>
        <w:ind w:firstLine="960"/>
      </w:pPr>
      <w:r>
        <w:rPr>
          <w:rFonts w:ascii="仿宋_GB2312" w:hAnsi="仿宋_GB2312" w:cs="仿宋_GB2312" w:eastAsia="仿宋_GB2312"/>
        </w:rPr>
        <w:t>详见附件：磋商保证金缴纳凭证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