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24631">
      <w:pPr>
        <w:jc w:val="center"/>
        <w:rPr>
          <w:rFonts w:hint="eastAsia"/>
          <w:b/>
          <w:bCs/>
          <w:sz w:val="20"/>
          <w:szCs w:val="20"/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安全措施</w:t>
      </w:r>
    </w:p>
    <w:p w14:paraId="6F82B6A0">
      <w:pPr>
        <w:jc w:val="center"/>
      </w:pPr>
      <w:bookmarkStart w:id="0" w:name="_GoBack"/>
      <w:bookmarkEnd w:id="0"/>
      <w:r>
        <w:rPr>
          <w:rFonts w:hint="eastAsia"/>
          <w:sz w:val="20"/>
          <w:szCs w:val="20"/>
          <w:lang w:eastAsia="zh-CN"/>
        </w:rPr>
        <w:t>供应商根据企业自身情况编写（格式自拟）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915B5"/>
    <w:rsid w:val="62B3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2026-03-06T02:34:00Z</dcterms:created>
  <dc:creator>Administrator</dc:creator>
  <cp:lastModifiedBy>荏苒</cp:lastModifiedBy>
  <dcterms:modified xsi:type="dcterms:W3CDTF">2026-03-06T02:35:28Z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9202487E8A1044588611A059566AE093_12</vt:lpwstr>
  </property>
</Properties>
</file>