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版本号：CQDL20260820260420001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汉中市南郑区新集镇农村地区散煤综合治理项目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CQDL202608</w:t>
      </w:r>
      <w:r>
        <w:br/>
      </w:r>
      <w:r>
        <w:br/>
      </w:r>
      <w:r>
        <w:br/>
      </w:r>
    </w:p>
    <w:p>
      <w:pPr>
        <w:pStyle w:val="null3"/>
        <w:jc w:val="center"/>
        <w:outlineLvl w:val="2"/>
      </w:pPr>
      <w:r>
        <w:rPr>
          <w:rFonts w:ascii="仿宋_GB2312" w:hAnsi="仿宋_GB2312" w:cs="仿宋_GB2312" w:eastAsia="仿宋_GB2312"/>
          <w:sz w:val="28"/>
          <w:b/>
        </w:rPr>
        <w:t>汉中市南郑区新集镇人民政府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汉中市南郑区新集镇人民政府</w:t>
      </w:r>
      <w:r>
        <w:rPr>
          <w:rFonts w:ascii="仿宋_GB2312" w:hAnsi="仿宋_GB2312" w:cs="仿宋_GB2312" w:eastAsia="仿宋_GB2312"/>
        </w:rPr>
        <w:t>委托，拟对</w:t>
      </w:r>
      <w:r>
        <w:rPr>
          <w:rFonts w:ascii="仿宋_GB2312" w:hAnsi="仿宋_GB2312" w:cs="仿宋_GB2312" w:eastAsia="仿宋_GB2312"/>
        </w:rPr>
        <w:t>汉中市南郑区新集镇农村地区散煤综合治理项目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汉中市南郑区新集镇农村地区散煤综合治理项目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采购空气源热泵热风机一批，面向辖区内符合要求的群众发放、安装，改善群众生活用能结构，深入推进本地区散煤综合治理工作，提升空气质量，保护环境。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汉中市南郑区新集镇人民政府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南郑区新集镇西关村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汉中市南郑区新集镇人民政府经办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13399169791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空气源热泵热风机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空气源热泵热风机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收费管理暂行办法的通知》（计价格〔2002〕1980号）和国家发改委办公厅《关于招标代理服务收费有关问题的通知》（发改办价格〔2003〕857号）文件规定标准收取 采购结果将在陕西省政府采购网予以公告。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汉中市南郑区新集镇人民政府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汉中市南郑区新集镇人民政府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汉中市南郑区新集镇人民政府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采购空气源热泵热风机一批，面向辖区内符合要求的群众发放、安装，改善群众生活用能结构，深入推进本地区散煤综合治理工作，提升空气质量，保护环境。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空气源热泵热风机</w:t>
            </w:r>
          </w:p>
        </w:tc>
        <w:tc>
          <w:tcPr>
            <w:tcW w:type="dxa" w:w="831"/>
          </w:tcPr>
          <w:p>
            <w:pPr>
              <w:pStyle w:val="null3"/>
              <w:jc w:val="right"/>
            </w:pPr>
            <w:r>
              <w:rPr>
                <w:rFonts w:ascii="仿宋_GB2312" w:hAnsi="仿宋_GB2312" w:cs="仿宋_GB2312" w:eastAsia="仿宋_GB2312"/>
              </w:rPr>
              <w:t>1,250.00</w:t>
            </w:r>
          </w:p>
        </w:tc>
        <w:tc>
          <w:tcPr>
            <w:tcW w:type="dxa" w:w="831"/>
          </w:tcPr>
          <w:p>
            <w:pPr>
              <w:pStyle w:val="null3"/>
              <w:jc w:val="right"/>
            </w:pPr>
            <w:r>
              <w:rPr>
                <w:rFonts w:ascii="仿宋_GB2312" w:hAnsi="仿宋_GB2312" w:cs="仿宋_GB2312" w:eastAsia="仿宋_GB2312"/>
              </w:rPr>
              <w:t>5,000,000.00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标的名称：空气源热泵热风机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额定电压/频率：220v/50Hz</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名义制热量：≥4000w（环境温度-12℃）</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能效等级：1级（应提供第三方机构出具的能效检测报告）</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强制认证：标的物应具有《中国国家强制产品认证证书》（3C强制认证）、《中国节能产品认证证书》；同时提供第三方机构出具的《产品检测报告》、《中国节能功能产品认证实验报告》</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冷热需求：冷热双制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防水等级（外机）：≥IPX4</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噪声：室内机≤45db，室外机≤56db</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变频/定频：变频</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循环风量：≥650m³/h</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制热季节性能系数（HSPF）:≥3.5</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防触电及防电击防护等级：1级</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连接管：铜管</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其他保护功能：具有防冷风、系统压力过高（低）、排气温度过高等保护功能</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除霜功能：具有可靠的除霜装置，除霜所需总时间不超过运行周期的20%;室内机组送风温度低于18℃的持续时间不超过1min，热风机除霜结束后，室外机的霜层应全部融化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合同签订后60日历天内完成全部货物交付及安装工作。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汉中市南郑区新集镇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供货安装进度达到50%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供货及安装进度达到80%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供货安装完成，通过采购人验收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保修范围：整机质保 保修期：≥6年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产品质量合格，且符合相应产品的国家及行业标准；所有货物及辅材必须是未使用过的新产品，质量优良、渠道正当，配置合理，符合国家及行业有关质量要求，如有违反，供应商应承担一切责任。 （2）质保期要求：整机质保≥6年。②供应商应在响应文件中列明质保的范围及质保年限。质保期出现的质量问题由成交供应商负责解决并承担所有费用；质保期后如需更换零部件，供应商应以优惠价提供。 （3）安装调试 ①安装 a.供应商的响应报价中应包含产品安装、辅材、配套管道、开孔等全部费用，不得向用户及采购人额外收取任何费用。 b.安装过程中，供应商应指派专业技术人员提供安装服务（特种作业人员应持证上岗），应严格按照产品说明书及安装规范进行操作，确保产品安装到位。安装操作规范合理，符合国家、行业相关标准。 c.安装完成后应对产品进行全面检查，确保所有部件安装到位、功能正常；安装过程中，若发现任何产品质量问题，供应商应无理由更换，直至问题解决。 ②调试 a.供应商应提供详尽的产品说明书，并指导用户使用。 b.调试过程中，出现异常情况，供应商应提供技术支持，协助用户解决问题。 （3）售后服务 ①供应商必须为用户提供7*24小时电话服务和技术支持。 ②在接到用户故障通知后，3小时内响应，6小时内到达现场解决故障，供应商未能在规定时间内到达现场的，采购人有权要求供应商给用户合理的经济赔偿。由于产品本身缺陷发生故障或损坏而造成的损失，全部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供应商提供履行合同所必需的设备和专业技术能力的证明材料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 货物来源渠道及佐证 中小企业声明函 商务应答表 投标人应提交的相关资格证明材料 核心产品环保标志产品认证 产品技术参数表 质量保证措施 其他资料 投标函 残疾人福利性单位声明函 标的清单 供应商类似项目业绩一览表 投标文件封面 项目实施方案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售后服务方案 货物来源渠道及佐证 中小企业声明函 商务应答表 投标人应提交的相关资格证明材料 核心产品环保标志产品认证 产品技术参数表 质量保证措施 其他资料 投标函 残疾人福利性单位声明函 标的清单 投标文件封面 供应商类似项目业绩一览表 项目实施方案 汉中市政府采购供应商资格承诺函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 货物来源渠道及佐证 中小企业声明函 商务应答表 投标人应提交的相关资格证明材料 核心产品环保标志产品认证 产品技术参数表 质量保证措施 其他资料 投标函 残疾人福利性单位声明函 标的清单 投标文件封面 供应商类似项目业绩一览表 项目实施方案 汉中市政府采购供应商资格承诺函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采购需求表中标注“▲”的为产品的重要技术参数，每有一项重要技术参数未响应或负偏离扣1分，最高扣9分。注：投标人应提供相关“▲”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投标人应提供采购清单中货物的合法来源渠道证明文件，提供核心产品的证明文件得5分，不提供不得分。投标人可根据自身情况提供以下资料: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货物来源渠道及佐证</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供应商需针对本项目提供完整的项目实施方案。内容包含：①供货组织②对接及运输方案③安装调试方案④人员、物力调配安排⑤进度安排及保障措施⑥安全文明施工措施。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1.5分，满分4.5分；②对接及运输方案:每完全满足一个评审标准得1分，满分3分；③安装调试方案:每完全满足一个评审标准得1.5分，满分4.5分；④人员、物力调配安排：每完全满足一个评审标准得1分，满分3分；⑤进度安排及保障措施：每完全满足一个评审标准得1.5分，满分4.5分；⑥安全文明施工措施每完全满足一个评审标准得1.5分，满分4.5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 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1.5分，满分3分；②响应时间:每完全满足一个评审标准得1.5分，满分3分；③故障处理及补救措施:每完全满足一个评审标准得1.5分，满分3分；④备品备件准备:每完全满足一个评审标准得1.5分，满分3分；⑤售后服务体系建设:每完全满足一个评审标准得1.5分，满分3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2分，满分4分；②产品生产、供应环节质量管理体系及保证措施:每完全满足一个评审标准得2分，满分4分。③安装质量保证措施：每完全满足一个评审标准得2分，满分4分。（以上涉及内容每出现一处存在内容前后矛盾或不一致、前后逻辑错误或混乱、引用的规范及标准错误、地点区域名称错误、不符合项目实际情形的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供应商自2023年4月至今具有同类项目供货业绩（以签订合同时间为准），每提供一份合格业绩证明得2.5分，满分5分。 备注：须提供完整业绩合同及对应销售发票复印件，以上两种证明材料同时提供方可得分，否则不得分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核心产品环保认证</w:t>
            </w:r>
          </w:p>
        </w:tc>
        <w:tc>
          <w:tcPr>
            <w:tcW w:type="dxa" w:w="2492"/>
          </w:tcPr>
          <w:p>
            <w:pPr>
              <w:pStyle w:val="null3"/>
            </w:pPr>
            <w:r>
              <w:rPr>
                <w:rFonts w:ascii="仿宋_GB2312" w:hAnsi="仿宋_GB2312" w:cs="仿宋_GB2312" w:eastAsia="仿宋_GB2312"/>
              </w:rPr>
              <w:t>供应商所投的核心产品具有环境标志产品认证证书得2分；注:须提供证书证明材料复印件及国家市场监督管理总局全国认证许可信息公共服务平台的证书信息查询结果截屏图片，且证明材料标注的产品型号应与供应商所投产品型号一致，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核心产品环保标志产品认证</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详见附件：货物来源渠道及佐证</w:t>
      </w:r>
    </w:p>
    <w:p>
      <w:pPr>
        <w:pStyle w:val="null3"/>
        <w:ind w:firstLine="960"/>
      </w:pPr>
      <w:r>
        <w:rPr>
          <w:rFonts w:ascii="仿宋_GB2312" w:hAnsi="仿宋_GB2312" w:cs="仿宋_GB2312" w:eastAsia="仿宋_GB2312"/>
        </w:rPr>
        <w:t>详见附件：核心产品环保标志产品认证</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