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版本号：HXTC-ZFCG-南郑区-2026042320260423001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南郑濂水颜氏民居保护修缮工程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HXTC-ZFCG-南郑区-20260423</w:t>
      </w:r>
      <w:r>
        <w:br/>
      </w:r>
      <w:r>
        <w:br/>
      </w:r>
      <w:r>
        <w:br/>
      </w:r>
    </w:p>
    <w:p>
      <w:pPr>
        <w:pStyle w:val="null3"/>
        <w:jc w:val="center"/>
        <w:outlineLvl w:val="2"/>
      </w:pPr>
      <w:r>
        <w:rPr>
          <w:rFonts w:ascii="仿宋_GB2312" w:hAnsi="仿宋_GB2312" w:cs="仿宋_GB2312" w:eastAsia="仿宋_GB2312"/>
          <w:sz w:val="28"/>
          <w:b/>
        </w:rPr>
        <w:t>汉中市南郑区文物管理委员会办公室</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汉中市南郑区文物管理委员会办公室</w:t>
      </w:r>
      <w:r>
        <w:rPr>
          <w:rFonts w:ascii="仿宋_GB2312" w:hAnsi="仿宋_GB2312" w:cs="仿宋_GB2312" w:eastAsia="仿宋_GB2312"/>
        </w:rPr>
        <w:t>委托，拟对</w:t>
      </w:r>
      <w:r>
        <w:rPr>
          <w:rFonts w:ascii="仿宋_GB2312" w:hAnsi="仿宋_GB2312" w:cs="仿宋_GB2312" w:eastAsia="仿宋_GB2312"/>
        </w:rPr>
        <w:t>南郑濂水颜氏民居保护修缮工程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HXTC-ZFCG-南郑区-20260423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南郑濂水颜氏民居保护修缮工程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濂水颜氏民居保护修缮工程，1项，南郑濂水颜氏民居保护修缮工程属于陕西省文物保护单位。保护修缮工程范围主要包括门厅、东厢房、正房、东偏门、偏院东厢房共五座单体建筑，占地面积约900平方米。工程内容：揭顶屋面、拆砌局部墙面、检查柱梁檩枋、门窗、屋面木基层现存状况、补配更换糟朽木构架、木门窗及木基层、木构件油饰、补配更换破损屋面瓦件脊件、清理墙面台阶污渍、地面拆除及铺装、整治院内小环境及排水设施（具体内容详见本项目设计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采购包1（南郑濂水颜氏民居保护修缮工程）：属于专门面向中小企业采购。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电子签章；</w:t>
      </w:r>
    </w:p>
    <w:p>
      <w:pPr>
        <w:pStyle w:val="null3"/>
      </w:pPr>
      <w:r>
        <w:rPr>
          <w:rFonts w:ascii="仿宋_GB2312" w:hAnsi="仿宋_GB2312" w:cs="仿宋_GB2312" w:eastAsia="仿宋_GB2312"/>
        </w:rPr>
        <w:t>2、具有履行合同所必须的设备和专业技术能力：供应商须具备文物保护工程施工二级（含二级）及以上资质等级（注：业务范围含“古建筑”），具有有效的安全生产许可证且在有效期内【供应商需在本项目电子化交易系统中按要求上传相关证明文件并电子签章】：具有履行合同所必须的设备和专业技术能力：供应商须具备文物保护工程施工二级（含二级）及以上资质等级（注：业务范围含“古建筑”），具有有效的安全生产许可证且在有效期内，供应商需在本项目电子化交易系统中按要求上传相关证明文件并电子签章</w:t>
      </w:r>
    </w:p>
    <w:p>
      <w:pPr>
        <w:pStyle w:val="null3"/>
      </w:pPr>
      <w:r>
        <w:rPr>
          <w:rFonts w:ascii="仿宋_GB2312" w:hAnsi="仿宋_GB2312" w:cs="仿宋_GB2312" w:eastAsia="仿宋_GB2312"/>
        </w:rPr>
        <w:t>3、拟派项目负责人资质和专业要求：拟派项目负责人须具备文物保护工程责任工程师证书，且无在建项目（注：责任工程师不得同时承担两个或两个以上文物保护工程项目施工的管理工作）、无不良信用记录【注：①提供项目经理证照复印件（文物保护工程责任工程师证、身份证及单位缴纳社保证明，无需缴纳社保的情况下提供其他相关证明材料）确认在有效期内并加盖单位公章；②提供拟派项目负责人“无不良信用记录承诺函”；③提供拟派项目负责人“无在建工程”声明函】：拟派项目负责人资质和专业要求：拟派项目负责人须具备文物保护工程责任工程师证书，且无在建项目（注：责任工程师不得同时承担两个或两个以上文物保护工程项目施工的管理工作）、无不良信用记录，供应商需在本项目电子化交易系统中按要求上传相关证明文件并电子签章；</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电子签章；</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注：提供“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按照汉中市财政局《关于全面推行政府采购投标人基本资格条件承诺制的通知》（汉财办采管〔2024〕20号）文件要求，提供满足相应条件的资格承诺函（格式详见附件）】：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7、供应商按规定缴纳了磋商保证金或提供磋商担保函【注：提供加盖公章的复印件】：供应商按规定缴纳了磋商保证金或提供磋商担保函。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汉中市南郑区文物管理委员会办公室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南郑区汉山街道办北一路文化影视中心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汉中市南郑区文物管理委员会办公室经办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0916-5519518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陕西省汉中市汉台区将坛西路南侧35号颐馨园小区商住楼11楼1101室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0916-2524867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开户名称：华兴天成项目咨询有限公司汉中分公司</w:t>
            </w:r>
          </w:p>
          <w:p>
            <w:pPr>
              <w:pStyle w:val="null3"/>
            </w:pPr>
            <w:r>
              <w:rPr>
                <w:rFonts w:ascii="仿宋_GB2312" w:hAnsi="仿宋_GB2312" w:cs="仿宋_GB2312" w:eastAsia="仿宋_GB2312"/>
              </w:rPr>
              <w:t>开户银行：中国银行股份有限公司汉中天汉大道支行</w:t>
            </w:r>
          </w:p>
          <w:p>
            <w:pPr>
              <w:pStyle w:val="null3"/>
            </w:pPr>
            <w:r>
              <w:rPr>
                <w:rFonts w:ascii="仿宋_GB2312" w:hAnsi="仿宋_GB2312" w:cs="仿宋_GB2312" w:eastAsia="仿宋_GB2312"/>
              </w:rPr>
              <w:t>银行账号：1024 8277 3591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发展改革委员会办公厅颁发的《关于采购代理服务收费有关问题的通知》（发改办价格[2003] 857号）、《国家发展改革委关于降低部分建设项目收费标准规范收费行为等有关问题的通知》（发改价格[2011]534号）的有关规定执行或双方合同约定。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汉中市南郑区文物管理委员会办公室</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汉中市南郑区文物管理委员会办公室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汉中市南郑区文物管理委员会办公室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申请工程竣工验收应符合以下条件： （一）完成立项报告和技术方案批复规定的各项内容；　　 （二）有完整的技术档案和施工管理资料（资料要求详 见附录一）； （三）通过了业主和勘察设计、施工、监理单位的四方验评和工程项目原申报机关组织的初验，并对初验中提出的意见已全部整改完毕。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联系电话：18691605987</w:t>
      </w:r>
    </w:p>
    <w:p>
      <w:pPr>
        <w:pStyle w:val="null3"/>
      </w:pPr>
      <w:r>
        <w:rPr>
          <w:rFonts w:ascii="仿宋_GB2312" w:hAnsi="仿宋_GB2312" w:cs="仿宋_GB2312" w:eastAsia="仿宋_GB2312"/>
        </w:rPr>
        <w:t>地址：陕西省汉中市汉台区将坛西路南侧35号颐馨园小区商住楼11楼1101室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2,180,000.00</w:t>
      </w:r>
    </w:p>
    <w:p>
      <w:pPr>
        <w:pStyle w:val="null3"/>
      </w:pPr>
      <w:r>
        <w:rPr>
          <w:rFonts w:ascii="仿宋_GB2312" w:hAnsi="仿宋_GB2312" w:cs="仿宋_GB2312" w:eastAsia="仿宋_GB2312"/>
        </w:rPr>
        <w:t>采购包最高限价（元）: 2,177,129.45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颜氏民居保护修缮工程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标的名称：颜氏民居保护修缮工程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1、工程概况：南郑濂水颜氏民居保护修缮工程，1项，南郑濂水颜氏民居保护修缮工程属于陕西省文物保护单位。保护修缮工程范围主要包括门厅、东厢房、正房、东偏门、偏院东厢房共五座单体建筑，占地面积约900平方米。工程内容：揭顶屋面、拆砌局部墙面、检查柱梁檩枋、门窗、屋面木基层现存状况、补配更换糟朽木构架、木门窗及木基层、木构件油饰、补配更换破损屋面瓦件脊件、清理墙面台阶污渍、地面拆除及铺装、整治院内小环境及排水设施（具体内容详见本项目设计文件及工程量清单）。</w:t>
            </w:r>
          </w:p>
          <w:p>
            <w:pPr>
              <w:pStyle w:val="null3"/>
              <w:jc w:val="left"/>
            </w:pPr>
            <w:r>
              <w:rPr>
                <w:rFonts w:ascii="仿宋_GB2312" w:hAnsi="仿宋_GB2312" w:cs="仿宋_GB2312" w:eastAsia="仿宋_GB2312"/>
                <w:sz w:val="21"/>
              </w:rPr>
              <w:t>2、施工范围：本项目施工图纸、设计文件及工程量清单范围内全部工程内容。</w:t>
            </w:r>
          </w:p>
          <w:p>
            <w:pPr>
              <w:pStyle w:val="null3"/>
              <w:jc w:val="left"/>
            </w:pPr>
            <w:r>
              <w:rPr>
                <w:rFonts w:ascii="仿宋_GB2312" w:hAnsi="仿宋_GB2312" w:cs="仿宋_GB2312" w:eastAsia="仿宋_GB2312"/>
                <w:sz w:val="21"/>
              </w:rPr>
              <w:t>3、施工地点：位于汉中市南郑区濂水镇联合村三组。</w:t>
            </w:r>
          </w:p>
          <w:p>
            <w:pPr>
              <w:pStyle w:val="null3"/>
              <w:jc w:val="left"/>
            </w:pPr>
            <w:r>
              <w:rPr>
                <w:rFonts w:ascii="仿宋_GB2312" w:hAnsi="仿宋_GB2312" w:cs="仿宋_GB2312" w:eastAsia="仿宋_GB2312"/>
                <w:sz w:val="21"/>
              </w:rPr>
              <w:t>4、计划工期（合同履行期限）：合同签订后120日历天（具体服务起止日期可随合同签订时间相应顺延）。</w:t>
            </w:r>
          </w:p>
          <w:p>
            <w:pPr>
              <w:pStyle w:val="null3"/>
              <w:jc w:val="left"/>
            </w:pPr>
            <w:r>
              <w:rPr>
                <w:rFonts w:ascii="仿宋_GB2312" w:hAnsi="仿宋_GB2312" w:cs="仿宋_GB2312" w:eastAsia="仿宋_GB2312"/>
                <w:sz w:val="21"/>
              </w:rPr>
              <w:t>5、工程质量要求：交工验收的质量评定：合格；竣工验收的质量评定：合格；质量达到文物保护建筑修缮合格标准，并满足国家相关标准、规范及有关技术文件要求。</w:t>
            </w:r>
          </w:p>
          <w:p>
            <w:pPr>
              <w:pStyle w:val="null3"/>
              <w:jc w:val="left"/>
            </w:pPr>
            <w:r>
              <w:rPr>
                <w:rFonts w:ascii="仿宋_GB2312" w:hAnsi="仿宋_GB2312" w:cs="仿宋_GB2312" w:eastAsia="仿宋_GB2312"/>
                <w:sz w:val="21"/>
              </w:rPr>
              <w:t>6、安全目标：无安全责任事故发生。</w:t>
            </w:r>
          </w:p>
          <w:p>
            <w:pPr>
              <w:pStyle w:val="null3"/>
              <w:jc w:val="left"/>
            </w:pPr>
            <w:r>
              <w:rPr>
                <w:rFonts w:ascii="仿宋_GB2312" w:hAnsi="仿宋_GB2312" w:cs="仿宋_GB2312" w:eastAsia="仿宋_GB2312"/>
                <w:sz w:val="21"/>
              </w:rPr>
              <w:t>7、工程质量保修期：五年（自工程竣工初验合格之日起计算，若该质量保修期小于国家标准，则以国家最新标准为准）。</w:t>
            </w:r>
          </w:p>
          <w:p>
            <w:pPr>
              <w:pStyle w:val="null3"/>
            </w:pPr>
            <w:r>
              <w:rPr>
                <w:rFonts w:ascii="仿宋_GB2312" w:hAnsi="仿宋_GB2312" w:cs="仿宋_GB2312" w:eastAsia="仿宋_GB2312"/>
                <w:sz w:val="21"/>
              </w:rPr>
              <w:t>8、其他权利与义务：满足竞争性磋商文件要求。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必须达到国家及行业现行技术规范标准，符合国家及行业相关标准规定，同时满足文物保护建筑修缮工程要求及验收规范。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程量清单编制依据：（1）陕西省文化遗产研究院2024年7月南郑濂水颜氏民居保护修缮工程（方案设计图）；（2）《陕西省工程建设标准之建设工程工程量清单计价标准》（2025）；（3）《陕西省工程建设标准之工程量计算标准》（2025）；（4）《陕西省建设工程费用规则（2025）》。 2、有关问题说明：（1）本项目为文物修缮工程，实施时现场做好拆补构件数量统计，工程结算时据实调整；（2）本项目暂列金100000.00元；（3）白蚁专项治理暂定综合单价：128000元/项。 3、本工程量清单采用：广联达云计价平台 GCCP7.0版本编制。 4、磋商报价要求：本项目设有最高限价，最高限价经财政评审后，金额：¥2,177,129.45元（大写：贰佰壹拾柒万柒仟壹佰贰拾玖元肆角伍分），供应商的磋商响应报价超过最高限价的，视为未响应竞争性磋商文件要求，其磋商响应文件按无效响应处理。 5、其他：（1）本采购项目的材料、设备、施工须达到所涉及到的现行中华人民共和国以及省、自治区、直辖市或行业的工程建设标准、规范的要求；（2）该项工程项目的材料、设备、施工除须达到以上标准外，还应满足方案设计要求和采购人在竞争性磋商文件中的有关要求；（3）该工程项目的材料、设备、施工如无上述1、2条的标准，在材料、设备的定货采购和施工安装时，应出具生产厂家或施工安装企业在技术监督部门已备案企业标准，并经采购人批准后方可实施。 3.3其他要求： 1、项目名称：南郑濂水颜氏民居保护修缮工程；2、为顺利推进政府采购电子化交易平台应用工作，供应商务必在开标截止时间30分钟前，通过项目电子化交易系统进行签到，如未进行签到，产生的一切后果由供应商自行承担。 3、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磋商文件未列明，而供应商认为应当计取的费用均应列入报价中。报价时不论是否计取，采购人均按已计取对待。各供应商所有分项报价（与最后磋商报价比例一致）同比例下浮。 4、签名是指手写签名或者加盖名章，盖章是指加盖单位印章。5、本项目所属行业为建筑业。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成交供应商在成交结果公示结束后5个工作日内向采购代理机构提供纸质版磋商响应文件，响应文件为正本1份，副本1份，电子版1份（包含磋商响应文件及计价软件生成的“*GBQ、*SXTB”等格式报价文件[按目前最新版本软件生成]）（响应文件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供应商须具备文物保护工程施工二级（含二级）及以上资质等级（注：业务范围含“古建筑”），具有有效的安全生产许可证且在有效期内【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具有履行合同所必须的设备和专业技术能力：供应商须具备文物保护工程施工二级（含二级）及以上资质等级（注：业务范围含“古建筑”），具有有效的安全生产许可证且在有效期内，供应商需在本项目电子化交易系统中按要求上传相关证明文件并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专业要求：拟派项目负责人须具备文物保护工程责任工程师证书，且无在建项目（注：责任工程师不得同时承担两个或两个以上文物保护工程项目施工的管理工作）、无不良信用记录【注：①提供项目经理证照复印件（文物保护工程责任工程师证、身份证及单位缴纳社保证明，无需缴纳社保的情况下提供其他相关证明材料）确认在有效期内并加盖单位公章；②提供拟派项目负责人“无不良信用记录承诺函”；③提供拟派项目负责人“无在建工程”声明函】</w:t>
            </w:r>
          </w:p>
        </w:tc>
        <w:tc>
          <w:tcPr>
            <w:tcW w:type="dxa" w:w="3322"/>
          </w:tcPr>
          <w:p>
            <w:pPr>
              <w:pStyle w:val="null3"/>
            </w:pPr>
            <w:r>
              <w:rPr>
                <w:rFonts w:ascii="仿宋_GB2312" w:hAnsi="仿宋_GB2312" w:cs="仿宋_GB2312" w:eastAsia="仿宋_GB2312"/>
              </w:rPr>
              <w:t>拟派项目负责人资质和专业要求：拟派项目负责人须具备文物保护工程责任工程师证书，且无在建项目（注：责任工程师不得同时承担两个或两个以上文物保护工程项目施工的管理工作）、无不良信用记录，供应商需在本项目电子化交易系统中按要求上传相关证明文件并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供应商按规定缴纳了磋商保证金或提供磋商担保函【注：提供加盖公章的复印件】</w:t>
            </w:r>
          </w:p>
        </w:tc>
        <w:tc>
          <w:tcPr>
            <w:tcW w:type="dxa" w:w="3322"/>
          </w:tcPr>
          <w:p>
            <w:pPr>
              <w:pStyle w:val="null3"/>
            </w:pPr>
            <w:r>
              <w:rPr>
                <w:rFonts w:ascii="仿宋_GB2312" w:hAnsi="仿宋_GB2312" w:cs="仿宋_GB2312" w:eastAsia="仿宋_GB2312"/>
              </w:rPr>
              <w:t>供应商按规定缴纳了磋商保证金或提供磋商担保函。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①施工方案；</w:t>
            </w:r>
          </w:p>
        </w:tc>
        <w:tc>
          <w:tcPr>
            <w:tcW w:type="dxa" w:w="2492"/>
          </w:tcPr>
          <w:p>
            <w:pPr>
              <w:pStyle w:val="null3"/>
            </w:pPr>
            <w:r>
              <w:rPr>
                <w:rFonts w:ascii="仿宋_GB2312" w:hAnsi="仿宋_GB2312" w:cs="仿宋_GB2312" w:eastAsia="仿宋_GB2312"/>
              </w:rPr>
              <w:t>一、评审内容：供应商针对项目编制完善的施工方案，内容包含：①工程重难点及解决措施；②工程施工方法；③施工质量通病防治措施。 二、评审标准： 1、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2、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4.0分；未提供不得分。2、针对性：根据供应商响应程度，此项最高得4.0分；未提供不得分。3、可实施性：根据供应商响应程度，此项最高得4.0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附件1：综合评分明细表：①施工方案.docx</w:t>
            </w:r>
          </w:p>
        </w:tc>
      </w:tr>
      <w:tr>
        <w:tc>
          <w:tcPr>
            <w:tcW w:type="dxa" w:w="831"/>
            <w:vMerge/>
          </w:tcPr>
          <w:p/>
        </w:tc>
        <w:tc>
          <w:tcPr>
            <w:tcW w:type="dxa" w:w="1661"/>
          </w:tcPr>
          <w:p>
            <w:pPr>
              <w:pStyle w:val="null3"/>
            </w:pPr>
            <w:r>
              <w:rPr>
                <w:rFonts w:ascii="仿宋_GB2312" w:hAnsi="仿宋_GB2312" w:cs="仿宋_GB2312" w:eastAsia="仿宋_GB2312"/>
              </w:rPr>
              <w:t>②资源配置计划；</w:t>
            </w:r>
          </w:p>
        </w:tc>
        <w:tc>
          <w:tcPr>
            <w:tcW w:type="dxa" w:w="2492"/>
          </w:tcPr>
          <w:p>
            <w:pPr>
              <w:pStyle w:val="null3"/>
            </w:pPr>
            <w:r>
              <w:rPr>
                <w:rFonts w:ascii="仿宋_GB2312" w:hAnsi="仿宋_GB2312" w:cs="仿宋_GB2312" w:eastAsia="仿宋_GB2312"/>
              </w:rPr>
              <w:t>一、评审内容：供应商针对项目编制完善的资源配置计划，内容包含：①劳动力资源配置计划；②施工机械设备投入计划；③主要施工材料供应计划。 二、评审标准： 1、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2、可实施性：（1）可实施性强：方案工作流程完善，实施步骤清晰，科学合理，可实施性强；（2）具有一定的可实施性：方案工作流程基本完善，能切合项目实际情况，可实施性较强；（3）可实施性一般 ：方案中存在至少一处表述模糊、难以执行或不够科学合理的内容；（4）缺乏可实施性：方案内容空洞，工作流程不完善，实施标准、实施质量不利于采购需求的实现，存在逻辑漏洞、常识错误或合理性差。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3.0分；未提供不得分。2、针对性：根据供应商响应程度，此项最高得3.0分；未提供不得分。3、可实施性：根据供应商响应程度，此项最高得3.0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附件2：综合评分明细表：②资源配置计划.docx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③施工进度计划；</w:t>
            </w:r>
          </w:p>
        </w:tc>
        <w:tc>
          <w:tcPr>
            <w:tcW w:type="dxa" w:w="2492"/>
          </w:tcPr>
          <w:p>
            <w:pPr>
              <w:pStyle w:val="null3"/>
            </w:pPr>
            <w:r>
              <w:rPr>
                <w:rFonts w:ascii="仿宋_GB2312" w:hAnsi="仿宋_GB2312" w:cs="仿宋_GB2312" w:eastAsia="仿宋_GB2312"/>
              </w:rPr>
              <w:t>一、评审内容：供应商针对项目编制完善的施工进度计划，内容包含：①施工进度计划横道图；②进度计划保证措施；③工期保证措施。二、评审标准： 1、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2、可实施性：（1）可实施性强：方案工作流程完善 ，实施步骤清晰，科学合理，可实施性强；（2）具有一定的可实施性：方案工作流程基本完善，能切合项目实际情况，可实施性较强；（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3.0分；未提供不得分。2、针对性：根据供应商响应程度，此项最高得3.0分；未提供不得分。3、可实施性：根据供应商响应程度，此项最高得3.0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附件3：综合评分明细表：③施工进度计划.docx</w:t>
            </w:r>
          </w:p>
        </w:tc>
      </w:tr>
      <w:tr>
        <w:tc>
          <w:tcPr>
            <w:tcW w:type="dxa" w:w="831"/>
            <w:vMerge/>
          </w:tcPr>
          <w:p/>
        </w:tc>
        <w:tc>
          <w:tcPr>
            <w:tcW w:type="dxa" w:w="1661"/>
          </w:tcPr>
          <w:p>
            <w:pPr>
              <w:pStyle w:val="null3"/>
            </w:pPr>
            <w:r>
              <w:rPr>
                <w:rFonts w:ascii="仿宋_GB2312" w:hAnsi="仿宋_GB2312" w:cs="仿宋_GB2312" w:eastAsia="仿宋_GB2312"/>
              </w:rPr>
              <w:t>④质量保证措施；</w:t>
            </w:r>
          </w:p>
        </w:tc>
        <w:tc>
          <w:tcPr>
            <w:tcW w:type="dxa" w:w="2492"/>
          </w:tcPr>
          <w:p>
            <w:pPr>
              <w:pStyle w:val="null3"/>
            </w:pPr>
            <w:r>
              <w:rPr>
                <w:rFonts w:ascii="仿宋_GB2312" w:hAnsi="仿宋_GB2312" w:cs="仿宋_GB2312" w:eastAsia="仿宋_GB2312"/>
              </w:rPr>
              <w:t>一、评审内容：供应商针对项目编制完善的质量保证措施，内容包含 ：①质量目标管理体系；②施工质量的检验制度；③确保质量的技术组织措施。 二、评审标准： 1、针对性 ：（1）针对性强：方案能够完全切合项目实际情况；（2）具有一定的针对性：方案结构基本完整 ，能切合项目实际情况，对项目关键环节及服务、售后等要求针对性较强；（3）针对性一般：方案中多数内容能够切合项目实际情况，但存在至少一处不适用项目实际的内容 ；（4）缺乏针对性：方案描述不符合项目实际情况，存在明显套用其他项目方案的内容。2、可实施性：（1）可实施性强：方案工作流程完善，实施步骤清晰，科学合理，可实施性强；（2）具有一定的可实施性：方案工作流程基本完善，能切合项目实际情况，可实施性较强；（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4.0分；未提供不得分。2、针对性：根据供应商响应程度，此项最高得4.0分；未提供不得分。3、可实施性：根据供应商响应程度，此项最高得4.0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附件4：综合评分明细表：④质量保证措施.docx</w:t>
            </w:r>
          </w:p>
        </w:tc>
      </w:tr>
      <w:tr>
        <w:tc>
          <w:tcPr>
            <w:tcW w:type="dxa" w:w="831"/>
            <w:vMerge/>
          </w:tcPr>
          <w:p/>
        </w:tc>
        <w:tc>
          <w:tcPr>
            <w:tcW w:type="dxa" w:w="1661"/>
          </w:tcPr>
          <w:p>
            <w:pPr>
              <w:pStyle w:val="null3"/>
            </w:pPr>
            <w:r>
              <w:rPr>
                <w:rFonts w:ascii="仿宋_GB2312" w:hAnsi="仿宋_GB2312" w:cs="仿宋_GB2312" w:eastAsia="仿宋_GB2312"/>
              </w:rPr>
              <w:t>⑤安全文明施工措施；</w:t>
            </w:r>
          </w:p>
        </w:tc>
        <w:tc>
          <w:tcPr>
            <w:tcW w:type="dxa" w:w="2492"/>
          </w:tcPr>
          <w:p>
            <w:pPr>
              <w:pStyle w:val="null3"/>
            </w:pPr>
            <w:r>
              <w:rPr>
                <w:rFonts w:ascii="仿宋_GB2312" w:hAnsi="仿宋_GB2312" w:cs="仿宋_GB2312" w:eastAsia="仿宋_GB2312"/>
              </w:rPr>
              <w:t>一、评审内容：供应商针对项目编制完整的安全文明施工措施，内容包含：①安全生产管理制度；②安全文明施工措施；③安全应急预案。 二、评审标准：1、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2、可实施性：（1）可实施性强：方案工作流程完善，实施步骤清晰，科学合理，可实施性强；（2）具有一定的可实施性：方案工作流程基本完善，能切合项目实际情况，可实施性较强 ；（3）可实施性一般：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3.0分；未提供不得分。2、针对性：根据供应商响应程度，此项最高得3.0分；未提供不得分。3、可实施性：根据供应商响应程度，此项最高得3.0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附件5：综合评分明细表：⑤安全文明施工措施.docx</w:t>
            </w:r>
          </w:p>
        </w:tc>
      </w:tr>
      <w:tr>
        <w:tc>
          <w:tcPr>
            <w:tcW w:type="dxa" w:w="831"/>
            <w:vMerge/>
          </w:tcPr>
          <w:p/>
        </w:tc>
        <w:tc>
          <w:tcPr>
            <w:tcW w:type="dxa" w:w="1661"/>
          </w:tcPr>
          <w:p>
            <w:pPr>
              <w:pStyle w:val="null3"/>
            </w:pPr>
            <w:r>
              <w:rPr>
                <w:rFonts w:ascii="仿宋_GB2312" w:hAnsi="仿宋_GB2312" w:cs="仿宋_GB2312" w:eastAsia="仿宋_GB2312"/>
              </w:rPr>
              <w:t>⑥项目管理机构；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一、评审内容：供应商针对项目编制科学的项目管理机构，内容包含：①管理机构的配备计划及管理人员证书；②组织机构的岗位职责及管理制度。 二、评审标准：1、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2、可实施性：（1）可实施性强：方案工作流程完善，实施步骤清晰，科学合理，可实施性强；（2）具有一定的可实施性：方案工作流程基本完善，能切合项目实际情况，可实施性较强；（3）可实施性一般 ：方案中存在至少一处表述模糊、难以执行或不够科学合理的内容；（4）缺乏可实施性：方案内容空洞，工作流程不完善，实施标准、实施质量不利于采购需求的实现，存在逻辑漏洞、常识错误或合理性差。 三、赋分标准：1、完整性：方案内容完整全面，对评审内容有描述及说明，根据供应商响应程度，此项最高得3.0分；未提供不得分。2、针对性：根据供应商响应程度，此项最高得3.0分；未提供不得分。3、可实施性：根据供应商响应程度，此项最高得3.0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附件6：综合评分明细表：⑥项目管理机构.docx</w:t>
            </w:r>
          </w:p>
        </w:tc>
      </w:tr>
      <w:tr>
        <w:tc>
          <w:tcPr>
            <w:tcW w:type="dxa" w:w="831"/>
            <w:vMerge/>
          </w:tcPr>
          <w:p/>
        </w:tc>
        <w:tc>
          <w:tcPr>
            <w:tcW w:type="dxa" w:w="1661"/>
          </w:tcPr>
          <w:p>
            <w:pPr>
              <w:pStyle w:val="null3"/>
            </w:pPr>
            <w:r>
              <w:rPr>
                <w:rFonts w:ascii="仿宋_GB2312" w:hAnsi="仿宋_GB2312" w:cs="仿宋_GB2312" w:eastAsia="仿宋_GB2312"/>
              </w:rPr>
              <w:t>⑦绿色施工与可持续发展措施</w:t>
            </w:r>
          </w:p>
        </w:tc>
        <w:tc>
          <w:tcPr>
            <w:tcW w:type="dxa" w:w="2492"/>
          </w:tcPr>
          <w:p>
            <w:pPr>
              <w:pStyle w:val="null3"/>
            </w:pPr>
            <w:r>
              <w:rPr>
                <w:rFonts w:ascii="仿宋_GB2312" w:hAnsi="仿宋_GB2312" w:cs="仿宋_GB2312" w:eastAsia="仿宋_GB2312"/>
              </w:rPr>
              <w:t>一、评审内容：供应商针对项目编制完善的绿色施工与可持续发展措施方案，体现环保、节能、节材理念，特别关注古文物、建筑保护的特殊要求，包含：①环境保护与降尘降噪：针对文物保护建筑修缮环境制定的专项降尘、降噪、防异味等措施（2分）；②资源节约与循环利用：在施工过程中对水、电、建筑材料等的节约与循环利用方案（2分）；③场地复原及周边生态保护：施工结束后对场地的清理、复原及周边生态保护承诺（2分）。 二、评审标准：内容全面详细，且条理清晰、准确、措施合理、紧扣项目实际情况。 三、赋分标准：根据供应商响应程度每项最高得2分，未提供相关内容的不计分。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附件7：综合评分明细表：⑦绿色施工与可持续发展措施.docx</w:t>
            </w:r>
          </w:p>
        </w:tc>
      </w:tr>
      <w:tr>
        <w:tc>
          <w:tcPr>
            <w:tcW w:type="dxa" w:w="831"/>
            <w:vMerge/>
          </w:tcPr>
          <w:p/>
        </w:tc>
        <w:tc>
          <w:tcPr>
            <w:tcW w:type="dxa" w:w="1661"/>
          </w:tcPr>
          <w:p>
            <w:pPr>
              <w:pStyle w:val="null3"/>
            </w:pPr>
            <w:r>
              <w:rPr>
                <w:rFonts w:ascii="仿宋_GB2312" w:hAnsi="仿宋_GB2312" w:cs="仿宋_GB2312" w:eastAsia="仿宋_GB2312"/>
              </w:rPr>
              <w:t>⑧类似业绩。</w:t>
            </w:r>
          </w:p>
        </w:tc>
        <w:tc>
          <w:tcPr>
            <w:tcW w:type="dxa" w:w="2492"/>
          </w:tcPr>
          <w:p>
            <w:pPr>
              <w:pStyle w:val="null3"/>
            </w:pPr>
            <w:r>
              <w:rPr>
                <w:rFonts w:ascii="仿宋_GB2312" w:hAnsi="仿宋_GB2312" w:cs="仿宋_GB2312" w:eastAsia="仿宋_GB2312"/>
              </w:rPr>
              <w:t>供应商提供近三年（2023年——至今）完成类似项目业绩（时间以签订的施工合同时间为准），每提供1个业绩得1分，此项最高得4分；（注：业绩评审需提供加盖公章的项目施工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附件8：综合评分明细表：⑧类似业绩.docx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2.有效最低报价为基准价得30分。 3.按（有效最低报价/有效磋商报价）×30的公式计算其得分。 4.磋商报价不完整的,不进入评标标准价的计算,项得0分。 5.不正当竞争预防措施：在评审过程中,磋商小组认定有可能影响产品质量或者不能诚信履约的,磋商小组应当要求其在评审现场合理的时间内提供成本构成书面说明,并提交相关证明材料。磋商单位书面说明应当按照国家财务会计制度的规定要求,逐项就投标单位提供的货物、工程和服务的主营业务成本（应根据投标单位企业类型予以区别）、税金及附加、销售费用、管理费用、财务费用等成本构成事项详细陈述。 磋商单位书面说明应当签字确认或者加盖公章,否则无效。书面说明的签字确认,磋商单位为法人的,由其法定代表人或者代理人签字确认;磋商单位为其他组织的,由其主要负责人或者代理人签字确认；磋商单位为自然人的,由其本人或者代理人签字确认。 磋商单位提供书面说明后,磋商小组应当结合采购项目需求、专业实际情况、磋商单位财务状况报告、与其他磋商单位比较情况等就磋商单位书面说明进行审查评价。磋商单位拒绝或者变相拒绝提供有效书面说明或者书面说明不能证明其报价合理性的,磋商小组应当将其响应文件作为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详见附件：附件1：综合评分明细表：①施工方案.docx</w:t>
      </w:r>
    </w:p>
    <w:p>
      <w:pPr>
        <w:pStyle w:val="null3"/>
        <w:ind w:firstLine="960"/>
      </w:pPr>
      <w:r>
        <w:rPr>
          <w:rFonts w:ascii="仿宋_GB2312" w:hAnsi="仿宋_GB2312" w:cs="仿宋_GB2312" w:eastAsia="仿宋_GB2312"/>
        </w:rPr>
        <w:t>详见附件：附件2：综合评分明细表：②资源配置计划.docx</w:t>
      </w:r>
    </w:p>
    <w:p>
      <w:pPr>
        <w:pStyle w:val="null3"/>
        <w:ind w:firstLine="960"/>
      </w:pPr>
      <w:r>
        <w:rPr>
          <w:rFonts w:ascii="仿宋_GB2312" w:hAnsi="仿宋_GB2312" w:cs="仿宋_GB2312" w:eastAsia="仿宋_GB2312"/>
        </w:rPr>
        <w:t>详见附件：附件3：综合评分明细表：③施工进度计划.docx</w:t>
      </w:r>
    </w:p>
    <w:p>
      <w:pPr>
        <w:pStyle w:val="null3"/>
        <w:ind w:firstLine="960"/>
      </w:pPr>
      <w:r>
        <w:rPr>
          <w:rFonts w:ascii="仿宋_GB2312" w:hAnsi="仿宋_GB2312" w:cs="仿宋_GB2312" w:eastAsia="仿宋_GB2312"/>
        </w:rPr>
        <w:t>详见附件：附件4：综合评分明细表：④质量保证措施.docx</w:t>
      </w:r>
    </w:p>
    <w:p>
      <w:pPr>
        <w:pStyle w:val="null3"/>
        <w:ind w:firstLine="960"/>
      </w:pPr>
      <w:r>
        <w:rPr>
          <w:rFonts w:ascii="仿宋_GB2312" w:hAnsi="仿宋_GB2312" w:cs="仿宋_GB2312" w:eastAsia="仿宋_GB2312"/>
        </w:rPr>
        <w:t>详见附件：附件5：综合评分明细表：⑤安全文明施工措施.docx</w:t>
      </w:r>
    </w:p>
    <w:p>
      <w:pPr>
        <w:pStyle w:val="null3"/>
        <w:ind w:firstLine="960"/>
      </w:pPr>
      <w:r>
        <w:rPr>
          <w:rFonts w:ascii="仿宋_GB2312" w:hAnsi="仿宋_GB2312" w:cs="仿宋_GB2312" w:eastAsia="仿宋_GB2312"/>
        </w:rPr>
        <w:t>详见附件：附件6：综合评分明细表：⑥项目管理机构.docx</w:t>
      </w:r>
    </w:p>
    <w:p>
      <w:pPr>
        <w:pStyle w:val="null3"/>
        <w:ind w:firstLine="960"/>
      </w:pPr>
      <w:r>
        <w:rPr>
          <w:rFonts w:ascii="仿宋_GB2312" w:hAnsi="仿宋_GB2312" w:cs="仿宋_GB2312" w:eastAsia="仿宋_GB2312"/>
        </w:rPr>
        <w:t>详见附件：附件7：综合评分明细表：⑦绿色施工与可持续发展措施.docx</w:t>
      </w:r>
    </w:p>
    <w:p>
      <w:pPr>
        <w:pStyle w:val="null3"/>
        <w:ind w:firstLine="960"/>
      </w:pPr>
      <w:r>
        <w:rPr>
          <w:rFonts w:ascii="仿宋_GB2312" w:hAnsi="仿宋_GB2312" w:cs="仿宋_GB2312" w:eastAsia="仿宋_GB2312"/>
        </w:rPr>
        <w:t>详见附件：附件8：综合评分明细表：⑧类似业绩.docx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