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版本号：ZYTT2026-HZ01920260410001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南郑区圣水寺二山门及东西配殿保护修缮工程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ZYTT2026-HZ019</w:t>
      </w:r>
      <w:r>
        <w:br/>
      </w:r>
      <w:r>
        <w:br/>
      </w:r>
      <w:r>
        <w:br/>
      </w:r>
    </w:p>
    <w:p>
      <w:pPr>
        <w:pStyle w:val="null3"/>
        <w:jc w:val="center"/>
        <w:outlineLvl w:val="2"/>
      </w:pPr>
      <w:r>
        <w:rPr>
          <w:rFonts w:ascii="仿宋_GB2312" w:hAnsi="仿宋_GB2312" w:cs="仿宋_GB2312" w:eastAsia="仿宋_GB2312"/>
          <w:sz w:val="28"/>
          <w:b/>
        </w:rPr>
        <w:t>汉中市南郑区圣水寺文物管理所</w:t>
      </w:r>
    </w:p>
    <w:p>
      <w:pPr>
        <w:pStyle w:val="null3"/>
        <w:jc w:val="center"/>
        <w:outlineLvl w:val="2"/>
      </w:pPr>
      <w:r>
        <w:rPr>
          <w:rFonts w:ascii="仿宋_GB2312" w:hAnsi="仿宋_GB2312" w:cs="仿宋_GB2312" w:eastAsia="仿宋_GB2312"/>
          <w:sz w:val="28"/>
          <w:b/>
        </w:rPr>
        <w:t>陕西正圆通泰项目管理有限公司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陕西正圆通泰项目管理有限公司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汉中市南郑区圣水寺文物管理所</w:t>
      </w:r>
      <w:r>
        <w:rPr>
          <w:rFonts w:ascii="仿宋_GB2312" w:hAnsi="仿宋_GB2312" w:cs="仿宋_GB2312" w:eastAsia="仿宋_GB2312"/>
        </w:rPr>
        <w:t>委托，拟对</w:t>
      </w:r>
      <w:r>
        <w:rPr>
          <w:rFonts w:ascii="仿宋_GB2312" w:hAnsi="仿宋_GB2312" w:cs="仿宋_GB2312" w:eastAsia="仿宋_GB2312"/>
        </w:rPr>
        <w:t>南郑区圣水寺二山门及东西配殿保护修缮工程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ZYTT2026-HZ019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南郑区圣水寺二山门及东西配殿保护修缮工程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内容：南郑区圣水寺二山门及东西配殿保护修缮工程，完成工程量清单及图纸中的全部内容。主要功能或目标：修整恢复圣水寺二山门、东配殿和西配殿文物建筑本体。针对文物建筑糟朽和垮塌部位加以修缮，更换梁椽瓦件，保证其古建筑原貌和结构稳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采购包1（南郑区圣水寺二山门及东西配殿保护修缮工程）：属于专门面向中小企业采购。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法定代表人证明书及授权书：法定代表人授权书（附法定代表人身份证复印件）及被授权人身份证（法定代表人直接参加投标只须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 有依法缴纳税收和社会保障金的良好记录，参加本项目采购活动前三年内无重大违法活动记录，未列入在信用中国网站“失信被执行人” 、“重大税收违法案件当事人名单”中(www.credit china.gov.cn)，也未列入中国政府采购网“政府采购严重违法失信行为记录名单”中www.cc gp.gov.cn )，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资质要求：供应商须具备文物保护工程施工二级及以上资质（业务范围含“古建筑”）且具备有效的安全生产许可证；拟派项目负责人须具备文物保护工程责任工程师证书且无在建项目，供应商需在项目电子化交易系统中按要求上传相应证明文件并进行电子签章；</w:t>
      </w:r>
    </w:p>
    <w:p>
      <w:pPr>
        <w:pStyle w:val="null3"/>
      </w:pPr>
      <w:r>
        <w:rPr>
          <w:rFonts w:ascii="仿宋_GB2312" w:hAnsi="仿宋_GB2312" w:cs="仿宋_GB2312" w:eastAsia="仿宋_GB2312"/>
        </w:rPr>
        <w:t>5、非联合体投标：本项目不接受联合体投标（提供非联合体投标承诺函），供应商需在项目电子化交易系统中按要求上传相应证明文件并进行电子签章；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汉中市南郑区圣水寺文物管理所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汉中市南郑区圣水镇马家咀村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汉中市南郑区圣水寺文物管理所经办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0916-5412809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陕西正圆通泰项目管理有限公司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汉中市汉台区滨江东路晨晖帝景府A1号楼2402室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0916-8890636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采购包1：1,705,381.60元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代理服务费收费标准：招标代理服务费参照《国家计委关于印发招标代理服务费管理暂行办法 的通知》（计价格〔2002〕1980号）文件及国家发改委下发的《关于降低部分建设项目收费 标准规范收费行为等有关问题的通知》（发改价格〔2011〕534号）文件规定的收费标准收取 。招标代理服务费以中标价为基数计算，按差额定率累进法计算收取。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汉中市南郑区圣水寺文物管理所</w:t>
      </w:r>
      <w:r>
        <w:rPr>
          <w:rFonts w:ascii="仿宋_GB2312" w:hAnsi="仿宋_GB2312" w:cs="仿宋_GB2312" w:eastAsia="仿宋_GB2312"/>
        </w:rPr>
        <w:t>和</w:t>
      </w:r>
      <w:r>
        <w:rPr>
          <w:rFonts w:ascii="仿宋_GB2312" w:hAnsi="仿宋_GB2312" w:cs="仿宋_GB2312" w:eastAsia="仿宋_GB2312"/>
        </w:rPr>
        <w:t>陕西正圆通泰项目管理有限公司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汉中市南郑区圣水寺文物管理所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陕西正圆通泰项目管理有限公司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汉中市南郑区圣水寺文物管理所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陕西正圆通泰项目管理有限公司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符合国家、省、市相关的法规和规章以及采购人的要求。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联系人：罗工</w:t>
      </w:r>
    </w:p>
    <w:p>
      <w:pPr>
        <w:pStyle w:val="null3"/>
      </w:pPr>
      <w:r>
        <w:rPr>
          <w:rFonts w:ascii="仿宋_GB2312" w:hAnsi="仿宋_GB2312" w:cs="仿宋_GB2312" w:eastAsia="仿宋_GB2312"/>
        </w:rPr>
        <w:t>联系电话：0916-8890636</w:t>
      </w:r>
    </w:p>
    <w:p>
      <w:pPr>
        <w:pStyle w:val="null3"/>
      </w:pPr>
      <w:r>
        <w:rPr>
          <w:rFonts w:ascii="仿宋_GB2312" w:hAnsi="仿宋_GB2312" w:cs="仿宋_GB2312" w:eastAsia="仿宋_GB2312"/>
        </w:rPr>
        <w:t>地址：汉中市汉台区滨江东路晨晖帝景府A1号楼2402室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1,705,381.60</w:t>
      </w:r>
    </w:p>
    <w:p>
      <w:pPr>
        <w:pStyle w:val="null3"/>
      </w:pPr>
      <w:r>
        <w:rPr>
          <w:rFonts w:ascii="仿宋_GB2312" w:hAnsi="仿宋_GB2312" w:cs="仿宋_GB2312" w:eastAsia="仿宋_GB2312"/>
        </w:rPr>
        <w:t>采购包最高限价（元）: 1,705,381.60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圣水寺二山门及东西配殿保护修缮工程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1,705,381.60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标的名称：圣水寺二山门及东西配殿保护修缮工程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具体内容详见工程量清单及图纸</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施工工期：</w:t>
            </w:r>
            <w:r>
              <w:rPr>
                <w:rFonts w:ascii="仿宋_GB2312" w:hAnsi="仿宋_GB2312" w:cs="仿宋_GB2312" w:eastAsia="仿宋_GB2312"/>
                <w:sz w:val="19"/>
                <w:color w:val="000000"/>
              </w:rPr>
              <w:t>90</w:t>
            </w:r>
            <w:r>
              <w:rPr>
                <w:rFonts w:ascii="仿宋_GB2312" w:hAnsi="仿宋_GB2312" w:cs="仿宋_GB2312" w:eastAsia="仿宋_GB2312"/>
                <w:sz w:val="19"/>
                <w:color w:val="000000"/>
              </w:rPr>
              <w:t>日历天</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质量目标：符合国家现行有关施工质量验收规范“合格”要求</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施工范围：工程量清单内所含的全部内容</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合同履约地点：汉中市南郑区圣水寺</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为顺利推进政府采购电子化交易平台应用工作，中标供应商需要在领取中标通知书时向代理机构提供纸质版响应文件，正 本壹份、副本贰份、电子版壹份，若线上电子响应文件与纸质响应文件不一致的，以线上电子响应文件为准；若正本和副本不 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 有依法缴纳税收和社会保障金的良好记录，参加本项目采购活动前三年内无重大违法活动记录，未列入在信用中国网站“失信被执行人” 、“重大税收违法案件当事人名单”中(www.credit china.gov.cn)，也未列入中国政府采购网“政府采购严重违法失信行为记录名单”中www.cc gp.gov.cn )，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文物保护工程施工二级及以上资质（业务范围含“古建筑”）且具备有效的安全生产许可证；拟派项目负责人须具备文物保护工程责任工程师证书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残疾人福利性单位声明函 报价函 技术服务合同条款及其他商务要求应答表 标的清单 供应商类似项目业绩一览表 响应函 监狱企业的证明文件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供应商针对本项目编制完善的资源配置计划，内容包含：①劳动力资源配置计划②施工机械设备投入计划③主要施工材料供应计划。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供应商针对本项目编制科学的项目管理机构，内容包含：①管理机构的配备计划及管理人员证书②组织机构的岗位职责及管理制度。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1分；缺1项，得0.5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供应商提供2023年1月至今类似项目业绩（以签订日期为准），每出具一个得1分，满分1分。 评审依据：以供应商提供的业绩合同/协议书的复印件（加盖供应商公章）为评审依据进行计分（合同须体现项目内容、签订时间及签字盖章页等关键页）。</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 规定：价格分采用低价优先法计算，即满足竞争性磋商文件要求且最后报价最低的供应商 的价格为磋商基准价，其价格分为满分。其他供应商的价格分统一按照下列公式计算：磋商报价得分=（磋商基准价/最终磋商报价）×价格权值（即30%）×100 （因落实政府采 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